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2" w:rightFromText="142" w:vertAnchor="page" w:horzAnchor="page" w:tblpX="5220" w:tblpY="1085"/>
        <w:tblW w:w="567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53"/>
        <w:gridCol w:w="2612"/>
        <w:gridCol w:w="1028"/>
        <w:gridCol w:w="569"/>
        <w:gridCol w:w="8"/>
      </w:tblGrid>
      <w:tr w:rsidR="00EA5864" w:rsidRPr="005F1694" w14:paraId="0B015DFD" w14:textId="77777777" w:rsidTr="00EA5864">
        <w:trPr>
          <w:cantSplit/>
          <w:trHeight w:hRule="exact" w:val="308"/>
        </w:trPr>
        <w:tc>
          <w:tcPr>
            <w:tcW w:w="4065" w:type="dxa"/>
            <w:gridSpan w:val="2"/>
            <w:shd w:val="clear" w:color="auto" w:fill="auto"/>
            <w:vAlign w:val="center"/>
          </w:tcPr>
          <w:p w14:paraId="7D045E34" w14:textId="300DD2FD" w:rsidR="00EA5864" w:rsidRPr="005F1694" w:rsidRDefault="00D519B0" w:rsidP="00EA5864">
            <w:pPr>
              <w:pStyle w:val="Tiedotteentiedototsikko"/>
              <w:rPr>
                <w:lang w:val="sv-SE"/>
              </w:rPr>
            </w:pPr>
            <w:bookmarkStart w:id="0" w:name="_GoBack"/>
            <w:bookmarkEnd w:id="0"/>
            <w:r w:rsidRPr="005F1694">
              <w:rPr>
                <w:lang w:val="sv-SE"/>
              </w:rPr>
              <w:t>KOMMUNINFO</w:t>
            </w:r>
          </w:p>
        </w:tc>
        <w:tc>
          <w:tcPr>
            <w:tcW w:w="1605" w:type="dxa"/>
            <w:gridSpan w:val="3"/>
            <w:vAlign w:val="center"/>
          </w:tcPr>
          <w:p w14:paraId="2B9EED46" w14:textId="552BB68A" w:rsidR="00EA5864" w:rsidRPr="005F1694" w:rsidRDefault="00BB226E" w:rsidP="00EA5864">
            <w:pPr>
              <w:pStyle w:val="tiedotteentiedotlihavoituoikea"/>
              <w:framePr w:hSpace="0" w:wrap="auto" w:vAnchor="margin" w:hAnchor="text" w:xAlign="left" w:yAlign="inline"/>
              <w:rPr>
                <w:lang w:val="sv-SE"/>
              </w:rPr>
            </w:pPr>
            <w:r>
              <w:rPr>
                <w:lang w:val="sv-SE"/>
              </w:rPr>
              <w:t>15</w:t>
            </w:r>
            <w:r w:rsidR="00FC3C6E">
              <w:rPr>
                <w:lang w:val="sv-SE"/>
              </w:rPr>
              <w:t>/2018</w:t>
            </w:r>
          </w:p>
        </w:tc>
      </w:tr>
      <w:tr w:rsidR="00D519B0" w:rsidRPr="005F1694" w14:paraId="4D0CE379" w14:textId="77777777" w:rsidTr="00EA5864">
        <w:trPr>
          <w:gridAfter w:val="1"/>
          <w:wAfter w:w="8" w:type="dxa"/>
          <w:cantSplit/>
          <w:trHeight w:hRule="exact" w:val="284"/>
        </w:trPr>
        <w:tc>
          <w:tcPr>
            <w:tcW w:w="1453" w:type="dxa"/>
            <w:shd w:val="clear" w:color="auto" w:fill="auto"/>
            <w:vAlign w:val="center"/>
          </w:tcPr>
          <w:p w14:paraId="4E7F784B" w14:textId="47CB07B6" w:rsidR="00D519B0" w:rsidRPr="005F1694" w:rsidRDefault="00D519B0" w:rsidP="00D519B0">
            <w:pPr>
              <w:pStyle w:val="Tiedotteentiedot"/>
              <w:rPr>
                <w:szCs w:val="18"/>
                <w:lang w:val="sv-SE"/>
              </w:rPr>
            </w:pPr>
            <w:r w:rsidRPr="005F1694">
              <w:rPr>
                <w:szCs w:val="18"/>
                <w:lang w:val="sv-SE"/>
              </w:rPr>
              <w:t>Helsingfors:</w:t>
            </w:r>
          </w:p>
        </w:tc>
        <w:tc>
          <w:tcPr>
            <w:tcW w:w="4209" w:type="dxa"/>
            <w:gridSpan w:val="3"/>
            <w:shd w:val="clear" w:color="auto" w:fill="auto"/>
            <w:vAlign w:val="center"/>
          </w:tcPr>
          <w:p w14:paraId="0B36B6BB" w14:textId="2D123A76" w:rsidR="00D519B0" w:rsidRPr="005F1694" w:rsidRDefault="003F182C" w:rsidP="00D519B0">
            <w:pPr>
              <w:pStyle w:val="Tiedotteentiedotlihavoitu"/>
              <w:framePr w:hSpace="0" w:wrap="auto" w:vAnchor="margin" w:hAnchor="text" w:xAlign="left" w:yAlign="inline"/>
              <w:rPr>
                <w:lang w:val="sv-SE"/>
              </w:rPr>
            </w:pPr>
            <w:r>
              <w:rPr>
                <w:lang w:val="sv-SE"/>
              </w:rPr>
              <w:t>17</w:t>
            </w:r>
            <w:r w:rsidR="007E1E07">
              <w:rPr>
                <w:lang w:val="sv-SE"/>
              </w:rPr>
              <w:t>.12.2018</w:t>
            </w:r>
          </w:p>
        </w:tc>
      </w:tr>
      <w:tr w:rsidR="00D519B0" w:rsidRPr="005F1694" w14:paraId="5742F3D5" w14:textId="77777777" w:rsidTr="00EA5864">
        <w:trPr>
          <w:gridAfter w:val="1"/>
          <w:wAfter w:w="8" w:type="dxa"/>
          <w:cantSplit/>
          <w:trHeight w:hRule="exact" w:val="284"/>
        </w:trPr>
        <w:tc>
          <w:tcPr>
            <w:tcW w:w="1453" w:type="dxa"/>
            <w:shd w:val="clear" w:color="auto" w:fill="auto"/>
            <w:vAlign w:val="center"/>
          </w:tcPr>
          <w:p w14:paraId="027F7400" w14:textId="6DFA8533" w:rsidR="00D519B0" w:rsidRPr="005F1694" w:rsidRDefault="00D519B0" w:rsidP="00D519B0">
            <w:pPr>
              <w:pStyle w:val="Tiedotteentiedot"/>
              <w:rPr>
                <w:szCs w:val="18"/>
                <w:lang w:val="sv-SE"/>
              </w:rPr>
            </w:pPr>
            <w:r w:rsidRPr="005F1694">
              <w:rPr>
                <w:szCs w:val="18"/>
                <w:lang w:val="sv-SE"/>
              </w:rPr>
              <w:t xml:space="preserve">Mer om teman: </w:t>
            </w:r>
          </w:p>
        </w:tc>
        <w:tc>
          <w:tcPr>
            <w:tcW w:w="3640" w:type="dxa"/>
            <w:gridSpan w:val="2"/>
            <w:shd w:val="clear" w:color="auto" w:fill="auto"/>
            <w:vAlign w:val="center"/>
          </w:tcPr>
          <w:p w14:paraId="6E91CBB6" w14:textId="2EE23EF1" w:rsidR="00D519B0" w:rsidRPr="005F1694" w:rsidRDefault="007E1E07" w:rsidP="00D519B0">
            <w:pPr>
              <w:pStyle w:val="Tiedotteentiedototsikko"/>
              <w:rPr>
                <w:lang w:val="sv-SE"/>
              </w:rPr>
            </w:pPr>
            <w:r>
              <w:rPr>
                <w:lang w:val="sv-SE"/>
              </w:rPr>
              <w:t>Underhållsbidrag, underhållsstöd</w:t>
            </w:r>
            <w:r w:rsidR="00D519B0" w:rsidRPr="005F1694">
              <w:rPr>
                <w:szCs w:val="18"/>
                <w:lang w:val="sv-SE"/>
              </w:rPr>
              <w:t xml:space="preserve"> </w:t>
            </w:r>
          </w:p>
        </w:tc>
        <w:tc>
          <w:tcPr>
            <w:tcW w:w="569" w:type="dxa"/>
            <w:vAlign w:val="center"/>
          </w:tcPr>
          <w:p w14:paraId="6A40E94C" w14:textId="6921449F" w:rsidR="00D519B0" w:rsidRPr="005F1694" w:rsidRDefault="00D519B0" w:rsidP="007A07B7">
            <w:pPr>
              <w:pStyle w:val="tiedotteentiedotlihavoituoikea"/>
              <w:framePr w:hSpace="0" w:wrap="auto" w:vAnchor="margin" w:hAnchor="text" w:xAlign="left" w:yAlign="inline"/>
              <w:jc w:val="left"/>
              <w:rPr>
                <w:lang w:val="sv-SE"/>
              </w:rPr>
            </w:pPr>
          </w:p>
        </w:tc>
      </w:tr>
    </w:tbl>
    <w:p w14:paraId="7DE54647" w14:textId="61231581" w:rsidR="005F1694" w:rsidRPr="005F1694" w:rsidRDefault="00FC3C6E" w:rsidP="005F1694">
      <w:pPr>
        <w:pStyle w:val="Rubrik"/>
      </w:pPr>
      <w:r w:rsidRPr="00FC3C6E">
        <w:t>Underhållsbidrag och underhållsstöd stiger från och med 1.1.2019</w:t>
      </w:r>
    </w:p>
    <w:p w14:paraId="0CF08110" w14:textId="3EE48E11" w:rsidR="00FC3C6E" w:rsidRPr="00FC3C6E" w:rsidRDefault="00FC3C6E" w:rsidP="00FC3C6E">
      <w:pPr>
        <w:rPr>
          <w:shd w:val="clear" w:color="auto" w:fill="FFFFFF"/>
          <w:lang w:eastAsia="fi-FI"/>
        </w:rPr>
      </w:pPr>
      <w:r w:rsidRPr="00FC3C6E">
        <w:rPr>
          <w:shd w:val="clear" w:color="auto" w:fill="FFFFFF"/>
          <w:lang w:eastAsia="fi-FI"/>
        </w:rPr>
        <w:t>Enligt lagen om vissa underhållsbidrags bindande vid levnadskostnaderna (583/2008) ska beloppet av vissa underhållsbidrag, ersättningar och underhållsstöd justeras kalenderårsvis från ingången av året i enlighet med stegringen i levnadskostnadsindexet (1951:10=1</w:t>
      </w:r>
      <w:r>
        <w:rPr>
          <w:shd w:val="clear" w:color="auto" w:fill="FFFFFF"/>
          <w:lang w:eastAsia="fi-FI"/>
        </w:rPr>
        <w:t>00). Den årliga ändringen beräk</w:t>
      </w:r>
      <w:r w:rsidRPr="00FC3C6E">
        <w:rPr>
          <w:shd w:val="clear" w:color="auto" w:fill="FFFFFF"/>
          <w:lang w:eastAsia="fi-FI"/>
        </w:rPr>
        <w:t>nas utifrån levnadskostnadsindexets poängtal för oktober i år och oktober förra året. Ersättningar som avses i lagen är underhållsbidrag enligt äktenskapslagen (234/1929), lagen om underhåll för barn (704/1975) och skadeståndslagen (412/1974), ersättningar enligt brottsskadelagen (1204/2005) som betalas ut som periodiskt understöd för inkomstförlust eller förlust av underhåll eller förlust av den underhållsskyldige, samt underhållsstöd enligt lagen om underhållsstöd (580/2008).</w:t>
      </w:r>
    </w:p>
    <w:p w14:paraId="0193F41F" w14:textId="6F4585F7" w:rsidR="00FC3C6E" w:rsidRPr="00FC3C6E" w:rsidRDefault="00FC3C6E" w:rsidP="00FC3C6E">
      <w:pPr>
        <w:rPr>
          <w:shd w:val="clear" w:color="auto" w:fill="FFFFFF"/>
          <w:lang w:eastAsia="fi-FI"/>
        </w:rPr>
      </w:pPr>
      <w:r w:rsidRPr="00FC3C6E">
        <w:rPr>
          <w:shd w:val="clear" w:color="auto" w:fill="FFFFFF"/>
          <w:lang w:eastAsia="fi-FI"/>
        </w:rPr>
        <w:t>Levnadskostnadsindexets poängtal var 1931 i oktober 2017 och 1</w:t>
      </w:r>
      <w:r>
        <w:rPr>
          <w:shd w:val="clear" w:color="auto" w:fill="FFFFFF"/>
          <w:lang w:eastAsia="fi-FI"/>
        </w:rPr>
        <w:t>960 i oktober 2018. Levnadskost</w:t>
      </w:r>
      <w:r w:rsidRPr="00FC3C6E">
        <w:rPr>
          <w:shd w:val="clear" w:color="auto" w:fill="FFFFFF"/>
          <w:lang w:eastAsia="fi-FI"/>
        </w:rPr>
        <w:t>nadsindex steg med 1,5 procent från oktober 2017. Därmed höjs vissa underhållsbidrag, ersättningar och underhållsstöd som anges i lagen om vissa underhållsbidrags bindande vid levnadskostnaderna med 1,5 procent från och med 1.1.2019.</w:t>
      </w:r>
    </w:p>
    <w:p w14:paraId="2408EA4F" w14:textId="77777777" w:rsidR="00FC3C6E" w:rsidRPr="00FC3C6E" w:rsidRDefault="00FC3C6E" w:rsidP="00FC3C6E">
      <w:pPr>
        <w:rPr>
          <w:shd w:val="clear" w:color="auto" w:fill="FFFFFF"/>
          <w:lang w:eastAsia="fi-FI"/>
        </w:rPr>
      </w:pPr>
      <w:r w:rsidRPr="00FC3C6E">
        <w:rPr>
          <w:shd w:val="clear" w:color="auto" w:fill="FFFFFF"/>
          <w:lang w:eastAsia="fi-FI"/>
        </w:rPr>
        <w:t>Justeringen gäller samtliga gällande avtal om underhållsbidrag som ingåtts med stöd av lagen om underhåll för barn oberoende av datum då de fastställts.</w:t>
      </w:r>
    </w:p>
    <w:p w14:paraId="5FC60DA6" w14:textId="05119027" w:rsidR="005F1694" w:rsidRPr="00FC3C6E" w:rsidRDefault="00FC3C6E" w:rsidP="00FC3C6E">
      <w:pPr>
        <w:rPr>
          <w:shd w:val="clear" w:color="auto" w:fill="FFFFFF"/>
          <w:lang w:eastAsia="fi-FI"/>
        </w:rPr>
      </w:pPr>
      <w:r w:rsidRPr="00FC3C6E">
        <w:rPr>
          <w:shd w:val="clear" w:color="auto" w:fill="FFFFFF"/>
          <w:lang w:eastAsia="fi-FI"/>
        </w:rPr>
        <w:t>Underhållsstödets fulla belopp för ett barn är 158,74 euro per kalendermånad från och med 1.1.2019. Fullt underhållsstöd är nu 156,39 euro per månad och därmed stiger stödet med 2,35 euro per månad.</w:t>
      </w:r>
    </w:p>
    <w:tbl>
      <w:tblPr>
        <w:tblW w:w="0" w:type="auto"/>
        <w:tblLayout w:type="fixed"/>
        <w:tblLook w:val="04A0" w:firstRow="1" w:lastRow="0" w:firstColumn="1" w:lastColumn="0" w:noHBand="0" w:noVBand="1"/>
      </w:tblPr>
      <w:tblGrid>
        <w:gridCol w:w="2977"/>
        <w:gridCol w:w="2041"/>
        <w:gridCol w:w="2637"/>
      </w:tblGrid>
      <w:tr w:rsidR="007A77BA" w14:paraId="3A0437BE" w14:textId="77777777" w:rsidTr="007A77BA">
        <w:trPr>
          <w:trHeight w:val="1337"/>
        </w:trPr>
        <w:tc>
          <w:tcPr>
            <w:tcW w:w="2977" w:type="dxa"/>
            <w:tcBorders>
              <w:top w:val="nil"/>
              <w:left w:val="nil"/>
              <w:bottom w:val="nil"/>
              <w:right w:val="nil"/>
            </w:tcBorders>
          </w:tcPr>
          <w:p w14:paraId="0AE3EB52" w14:textId="77777777" w:rsidR="00544594" w:rsidRPr="00544594" w:rsidRDefault="00544594" w:rsidP="00544594">
            <w:pPr>
              <w:numPr>
                <w:ilvl w:val="1"/>
                <w:numId w:val="0"/>
              </w:numPr>
              <w:spacing w:after="0"/>
              <w:rPr>
                <w:rFonts w:eastAsiaTheme="minorEastAsia"/>
                <w:b/>
                <w:bCs/>
                <w:color w:val="7F7F7F" w:themeColor="text1" w:themeTint="80"/>
                <w:w w:val="120"/>
                <w:szCs w:val="22"/>
              </w:rPr>
            </w:pPr>
            <w:r w:rsidRPr="00544594">
              <w:rPr>
                <w:rFonts w:eastAsiaTheme="minorEastAsia"/>
                <w:b/>
                <w:bCs/>
                <w:color w:val="7F7F7F" w:themeColor="text1" w:themeTint="80"/>
                <w:w w:val="120"/>
                <w:szCs w:val="22"/>
              </w:rPr>
              <w:t>Tabell över indexjustering av underhållsbidraget</w:t>
            </w:r>
          </w:p>
          <w:p w14:paraId="44E6D250" w14:textId="77777777" w:rsidR="007A77BA" w:rsidRPr="007E1E07" w:rsidRDefault="007A77BA">
            <w:pPr>
              <w:pStyle w:val="Default"/>
              <w:rPr>
                <w:rFonts w:ascii="Myriad Pro" w:hAnsi="Myriad Pro"/>
                <w:color w:val="7F7F7F" w:themeColor="text1" w:themeTint="80"/>
                <w:sz w:val="22"/>
                <w:szCs w:val="22"/>
                <w:lang w:val="sv-SE" w:eastAsia="en-US"/>
              </w:rPr>
            </w:pPr>
          </w:p>
          <w:p w14:paraId="7ED65370" w14:textId="77777777" w:rsidR="007A77BA" w:rsidRPr="007E1E07" w:rsidRDefault="007A77BA">
            <w:pPr>
              <w:pStyle w:val="Default"/>
              <w:rPr>
                <w:rFonts w:ascii="Myriad Pro" w:hAnsi="Myriad Pro"/>
                <w:b/>
                <w:color w:val="7F7F7F" w:themeColor="text1" w:themeTint="80"/>
                <w:sz w:val="22"/>
                <w:szCs w:val="22"/>
                <w:lang w:val="sv-SE" w:eastAsia="en-US"/>
              </w:rPr>
            </w:pPr>
            <w:r w:rsidRPr="007E1E07">
              <w:rPr>
                <w:rFonts w:ascii="Myriad Pro" w:hAnsi="Myriad Pro"/>
                <w:b/>
                <w:color w:val="7F7F7F" w:themeColor="text1" w:themeTint="80"/>
                <w:sz w:val="22"/>
                <w:szCs w:val="22"/>
                <w:lang w:val="sv-SE" w:eastAsia="en-US"/>
              </w:rPr>
              <w:t>Förhöjning fr.o.m.</w:t>
            </w:r>
          </w:p>
          <w:p w14:paraId="661F18BB" w14:textId="0517D86C" w:rsidR="00E36A5A" w:rsidRPr="007E1E07" w:rsidRDefault="00E36A5A">
            <w:pPr>
              <w:pStyle w:val="Default"/>
              <w:rPr>
                <w:rFonts w:ascii="Myriad Pro" w:hAnsi="Myriad Pro"/>
                <w:b/>
                <w:color w:val="7F7F7F" w:themeColor="text1" w:themeTint="80"/>
                <w:sz w:val="22"/>
                <w:szCs w:val="22"/>
                <w:lang w:val="sv-SE" w:eastAsia="en-US"/>
              </w:rPr>
            </w:pPr>
          </w:p>
        </w:tc>
        <w:tc>
          <w:tcPr>
            <w:tcW w:w="2041" w:type="dxa"/>
            <w:tcBorders>
              <w:top w:val="nil"/>
              <w:left w:val="nil"/>
              <w:bottom w:val="nil"/>
              <w:right w:val="nil"/>
            </w:tcBorders>
          </w:tcPr>
          <w:p w14:paraId="5204BDB0" w14:textId="77777777" w:rsidR="007A77BA" w:rsidRPr="007E1E07" w:rsidRDefault="007A77BA">
            <w:pPr>
              <w:pStyle w:val="Default"/>
              <w:rPr>
                <w:rFonts w:ascii="Myriad Pro" w:hAnsi="Myriad Pro"/>
                <w:color w:val="7F7F7F" w:themeColor="text1" w:themeTint="80"/>
                <w:sz w:val="22"/>
                <w:szCs w:val="22"/>
                <w:lang w:val="sv-SE" w:eastAsia="en-US"/>
              </w:rPr>
            </w:pPr>
          </w:p>
          <w:p w14:paraId="1AEDD72A" w14:textId="77777777" w:rsidR="007A77BA" w:rsidRPr="007E1E07" w:rsidRDefault="007A77BA">
            <w:pPr>
              <w:pStyle w:val="Default"/>
              <w:rPr>
                <w:rFonts w:ascii="Myriad Pro" w:hAnsi="Myriad Pro"/>
                <w:color w:val="7F7F7F" w:themeColor="text1" w:themeTint="80"/>
                <w:sz w:val="22"/>
                <w:szCs w:val="22"/>
                <w:lang w:val="sv-SE" w:eastAsia="en-US"/>
              </w:rPr>
            </w:pPr>
          </w:p>
          <w:p w14:paraId="31643203" w14:textId="03F5DBC0" w:rsidR="007A77BA" w:rsidRPr="007E1E07" w:rsidRDefault="007A77BA">
            <w:pPr>
              <w:pStyle w:val="Default"/>
              <w:rPr>
                <w:rFonts w:ascii="Myriad Pro" w:hAnsi="Myriad Pro"/>
                <w:color w:val="7F7F7F" w:themeColor="text1" w:themeTint="80"/>
                <w:sz w:val="22"/>
                <w:szCs w:val="22"/>
                <w:lang w:val="sv-SE" w:eastAsia="en-US"/>
              </w:rPr>
            </w:pPr>
          </w:p>
          <w:p w14:paraId="09FC168A" w14:textId="77777777" w:rsidR="00544594" w:rsidRPr="007E1E07" w:rsidRDefault="00544594">
            <w:pPr>
              <w:pStyle w:val="Default"/>
              <w:rPr>
                <w:rFonts w:ascii="Myriad Pro" w:hAnsi="Myriad Pro"/>
                <w:color w:val="7F7F7F" w:themeColor="text1" w:themeTint="80"/>
                <w:sz w:val="22"/>
                <w:szCs w:val="22"/>
                <w:lang w:val="sv-SE" w:eastAsia="en-US"/>
              </w:rPr>
            </w:pPr>
          </w:p>
          <w:p w14:paraId="7CDBEA0E" w14:textId="77777777" w:rsidR="007A77BA" w:rsidRDefault="007A77BA">
            <w:pPr>
              <w:pStyle w:val="Default"/>
              <w:rPr>
                <w:rFonts w:ascii="Myriad Pro" w:hAnsi="Myriad Pro"/>
                <w:b/>
                <w:color w:val="7F7F7F" w:themeColor="text1" w:themeTint="80"/>
                <w:sz w:val="22"/>
                <w:szCs w:val="22"/>
                <w:lang w:val="en-US" w:eastAsia="en-US"/>
              </w:rPr>
            </w:pPr>
            <w:r w:rsidRPr="00544594">
              <w:rPr>
                <w:rFonts w:ascii="Myriad Pro" w:hAnsi="Myriad Pro"/>
                <w:b/>
                <w:color w:val="7F7F7F" w:themeColor="text1" w:themeTint="80"/>
                <w:sz w:val="22"/>
                <w:szCs w:val="22"/>
                <w:lang w:val="en-US" w:eastAsia="en-US"/>
              </w:rPr>
              <w:t>Förhöjning%</w:t>
            </w:r>
          </w:p>
          <w:p w14:paraId="6BDF6911" w14:textId="182FCD19" w:rsidR="00E36A5A" w:rsidRPr="00544594" w:rsidRDefault="00E36A5A">
            <w:pPr>
              <w:pStyle w:val="Default"/>
              <w:rPr>
                <w:rFonts w:ascii="Myriad Pro" w:hAnsi="Myriad Pro"/>
                <w:b/>
                <w:color w:val="7F7F7F" w:themeColor="text1" w:themeTint="80"/>
                <w:sz w:val="22"/>
                <w:szCs w:val="22"/>
                <w:lang w:val="en-US" w:eastAsia="en-US"/>
              </w:rPr>
            </w:pPr>
          </w:p>
        </w:tc>
        <w:tc>
          <w:tcPr>
            <w:tcW w:w="2637" w:type="dxa"/>
            <w:tcBorders>
              <w:top w:val="nil"/>
              <w:left w:val="nil"/>
              <w:bottom w:val="nil"/>
              <w:right w:val="nil"/>
            </w:tcBorders>
          </w:tcPr>
          <w:p w14:paraId="74CE920E" w14:textId="77777777" w:rsidR="007A77BA" w:rsidRPr="00544594" w:rsidRDefault="007A77BA">
            <w:pPr>
              <w:pStyle w:val="Default"/>
              <w:rPr>
                <w:rFonts w:ascii="Myriad Pro" w:hAnsi="Myriad Pro"/>
                <w:color w:val="7F7F7F" w:themeColor="text1" w:themeTint="80"/>
                <w:sz w:val="22"/>
                <w:szCs w:val="22"/>
                <w:lang w:val="en-US" w:eastAsia="en-US"/>
              </w:rPr>
            </w:pPr>
          </w:p>
          <w:p w14:paraId="33C61E0B" w14:textId="77777777" w:rsidR="007A77BA" w:rsidRPr="00544594" w:rsidRDefault="007A77BA">
            <w:pPr>
              <w:pStyle w:val="Default"/>
              <w:rPr>
                <w:rFonts w:ascii="Myriad Pro" w:hAnsi="Myriad Pro"/>
                <w:color w:val="7F7F7F" w:themeColor="text1" w:themeTint="80"/>
                <w:sz w:val="22"/>
                <w:szCs w:val="22"/>
                <w:lang w:val="en-US" w:eastAsia="en-US"/>
              </w:rPr>
            </w:pPr>
          </w:p>
          <w:p w14:paraId="527B68AE" w14:textId="491890D4" w:rsidR="007A77BA" w:rsidRDefault="007A77BA">
            <w:pPr>
              <w:pStyle w:val="Default"/>
              <w:rPr>
                <w:rFonts w:ascii="Myriad Pro" w:hAnsi="Myriad Pro"/>
                <w:color w:val="7F7F7F" w:themeColor="text1" w:themeTint="80"/>
                <w:sz w:val="22"/>
                <w:szCs w:val="22"/>
                <w:lang w:val="en-US" w:eastAsia="en-US"/>
              </w:rPr>
            </w:pPr>
          </w:p>
          <w:p w14:paraId="4E78F8E5" w14:textId="77777777" w:rsidR="00E36A5A" w:rsidRPr="00544594" w:rsidRDefault="00E36A5A">
            <w:pPr>
              <w:pStyle w:val="Default"/>
              <w:rPr>
                <w:rFonts w:ascii="Myriad Pro" w:hAnsi="Myriad Pro"/>
                <w:color w:val="7F7F7F" w:themeColor="text1" w:themeTint="80"/>
                <w:sz w:val="22"/>
                <w:szCs w:val="22"/>
                <w:lang w:val="en-US" w:eastAsia="en-US"/>
              </w:rPr>
            </w:pPr>
          </w:p>
          <w:p w14:paraId="330A6440" w14:textId="77777777" w:rsidR="007A77BA" w:rsidRDefault="007A77BA">
            <w:pPr>
              <w:pStyle w:val="Default"/>
              <w:rPr>
                <w:rFonts w:ascii="Myriad Pro" w:hAnsi="Myriad Pro"/>
                <w:b/>
                <w:color w:val="7F7F7F" w:themeColor="text1" w:themeTint="80"/>
                <w:sz w:val="22"/>
                <w:szCs w:val="22"/>
                <w:lang w:val="en-US" w:eastAsia="en-US"/>
              </w:rPr>
            </w:pPr>
            <w:r w:rsidRPr="00544594">
              <w:rPr>
                <w:rFonts w:ascii="Myriad Pro" w:hAnsi="Myriad Pro"/>
                <w:b/>
                <w:color w:val="7F7F7F" w:themeColor="text1" w:themeTint="80"/>
                <w:sz w:val="22"/>
                <w:szCs w:val="22"/>
                <w:lang w:val="en-US" w:eastAsia="en-US"/>
              </w:rPr>
              <w:t>Gäller underhållsbidrag</w:t>
            </w:r>
          </w:p>
          <w:p w14:paraId="636BCF7F" w14:textId="3CEEDFBF" w:rsidR="00E36A5A" w:rsidRPr="00544594" w:rsidRDefault="00E36A5A">
            <w:pPr>
              <w:pStyle w:val="Default"/>
              <w:rPr>
                <w:rFonts w:ascii="Myriad Pro" w:hAnsi="Myriad Pro"/>
                <w:b/>
                <w:color w:val="7F7F7F" w:themeColor="text1" w:themeTint="80"/>
                <w:sz w:val="22"/>
                <w:szCs w:val="22"/>
                <w:lang w:val="en-US" w:eastAsia="en-US"/>
              </w:rPr>
            </w:pPr>
          </w:p>
        </w:tc>
      </w:tr>
      <w:tr w:rsidR="007A77BA" w14:paraId="31E06004" w14:textId="77777777" w:rsidTr="007A77BA">
        <w:trPr>
          <w:trHeight w:val="109"/>
        </w:trPr>
        <w:tc>
          <w:tcPr>
            <w:tcW w:w="2977" w:type="dxa"/>
            <w:tcBorders>
              <w:top w:val="nil"/>
              <w:left w:val="nil"/>
              <w:bottom w:val="nil"/>
              <w:right w:val="nil"/>
            </w:tcBorders>
            <w:hideMark/>
          </w:tcPr>
          <w:p w14:paraId="4EDB507C"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1.1.1995</w:t>
            </w:r>
          </w:p>
        </w:tc>
        <w:tc>
          <w:tcPr>
            <w:tcW w:w="2041" w:type="dxa"/>
            <w:tcBorders>
              <w:top w:val="nil"/>
              <w:left w:val="nil"/>
              <w:bottom w:val="nil"/>
              <w:right w:val="nil"/>
            </w:tcBorders>
            <w:hideMark/>
          </w:tcPr>
          <w:p w14:paraId="4EAB846E"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5 %</w:t>
            </w:r>
          </w:p>
        </w:tc>
        <w:tc>
          <w:tcPr>
            <w:tcW w:w="2637" w:type="dxa"/>
            <w:tcBorders>
              <w:top w:val="nil"/>
              <w:left w:val="nil"/>
              <w:bottom w:val="nil"/>
              <w:right w:val="nil"/>
            </w:tcBorders>
            <w:hideMark/>
          </w:tcPr>
          <w:p w14:paraId="25045292" w14:textId="0B937A90" w:rsidR="007A77BA" w:rsidRPr="00E36A5A" w:rsidRDefault="007A77BA" w:rsidP="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fastställda före 1.1.1993</w:t>
            </w:r>
          </w:p>
        </w:tc>
      </w:tr>
      <w:tr w:rsidR="007A77BA" w14:paraId="159967D9" w14:textId="77777777" w:rsidTr="007A77BA">
        <w:trPr>
          <w:trHeight w:val="109"/>
        </w:trPr>
        <w:tc>
          <w:tcPr>
            <w:tcW w:w="2977" w:type="dxa"/>
            <w:tcBorders>
              <w:top w:val="nil"/>
              <w:left w:val="nil"/>
              <w:bottom w:val="nil"/>
              <w:right w:val="nil"/>
            </w:tcBorders>
            <w:hideMark/>
          </w:tcPr>
          <w:p w14:paraId="07D03D0B"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1.1.2000</w:t>
            </w:r>
          </w:p>
        </w:tc>
        <w:tc>
          <w:tcPr>
            <w:tcW w:w="2041" w:type="dxa"/>
            <w:tcBorders>
              <w:top w:val="nil"/>
              <w:left w:val="nil"/>
              <w:bottom w:val="nil"/>
              <w:right w:val="nil"/>
            </w:tcBorders>
            <w:hideMark/>
          </w:tcPr>
          <w:p w14:paraId="5AC27C54"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5 %</w:t>
            </w:r>
          </w:p>
        </w:tc>
        <w:tc>
          <w:tcPr>
            <w:tcW w:w="2637" w:type="dxa"/>
            <w:tcBorders>
              <w:top w:val="nil"/>
              <w:left w:val="nil"/>
              <w:bottom w:val="nil"/>
              <w:right w:val="nil"/>
            </w:tcBorders>
            <w:hideMark/>
          </w:tcPr>
          <w:p w14:paraId="7228783B" w14:textId="11490A42" w:rsidR="007A77BA" w:rsidRPr="00E36A5A" w:rsidRDefault="007A77BA" w:rsidP="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fastställda före 1.1.1995</w:t>
            </w:r>
          </w:p>
        </w:tc>
      </w:tr>
      <w:tr w:rsidR="007A77BA" w14:paraId="5E57D999" w14:textId="77777777" w:rsidTr="007A77BA">
        <w:trPr>
          <w:trHeight w:val="109"/>
        </w:trPr>
        <w:tc>
          <w:tcPr>
            <w:tcW w:w="2977" w:type="dxa"/>
            <w:tcBorders>
              <w:top w:val="nil"/>
              <w:left w:val="nil"/>
              <w:bottom w:val="nil"/>
              <w:right w:val="nil"/>
            </w:tcBorders>
            <w:hideMark/>
          </w:tcPr>
          <w:p w14:paraId="39319F6A"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1.1.2002</w:t>
            </w:r>
          </w:p>
        </w:tc>
        <w:tc>
          <w:tcPr>
            <w:tcW w:w="2041" w:type="dxa"/>
            <w:tcBorders>
              <w:top w:val="nil"/>
              <w:left w:val="nil"/>
              <w:bottom w:val="nil"/>
              <w:right w:val="nil"/>
            </w:tcBorders>
            <w:hideMark/>
          </w:tcPr>
          <w:p w14:paraId="3FBD6619"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5 %</w:t>
            </w:r>
          </w:p>
        </w:tc>
        <w:tc>
          <w:tcPr>
            <w:tcW w:w="2637" w:type="dxa"/>
            <w:tcBorders>
              <w:top w:val="nil"/>
              <w:left w:val="nil"/>
              <w:bottom w:val="nil"/>
              <w:right w:val="nil"/>
            </w:tcBorders>
            <w:hideMark/>
          </w:tcPr>
          <w:p w14:paraId="60029696" w14:textId="63ECDAE4"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fastställda före 1.1.2000</w:t>
            </w:r>
          </w:p>
        </w:tc>
      </w:tr>
      <w:tr w:rsidR="007A77BA" w14:paraId="6BBE93A0" w14:textId="77777777" w:rsidTr="007A77BA">
        <w:trPr>
          <w:trHeight w:val="109"/>
        </w:trPr>
        <w:tc>
          <w:tcPr>
            <w:tcW w:w="2977" w:type="dxa"/>
            <w:tcBorders>
              <w:top w:val="nil"/>
              <w:left w:val="nil"/>
              <w:bottom w:val="nil"/>
              <w:right w:val="nil"/>
            </w:tcBorders>
            <w:hideMark/>
          </w:tcPr>
          <w:p w14:paraId="6B43AC01"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1.1.2007</w:t>
            </w:r>
          </w:p>
        </w:tc>
        <w:tc>
          <w:tcPr>
            <w:tcW w:w="2041" w:type="dxa"/>
            <w:tcBorders>
              <w:top w:val="nil"/>
              <w:left w:val="nil"/>
              <w:bottom w:val="nil"/>
              <w:right w:val="nil"/>
            </w:tcBorders>
            <w:hideMark/>
          </w:tcPr>
          <w:p w14:paraId="1E2A9202"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5 %</w:t>
            </w:r>
          </w:p>
        </w:tc>
        <w:tc>
          <w:tcPr>
            <w:tcW w:w="2637" w:type="dxa"/>
            <w:tcBorders>
              <w:top w:val="nil"/>
              <w:left w:val="nil"/>
              <w:bottom w:val="nil"/>
              <w:right w:val="nil"/>
            </w:tcBorders>
            <w:hideMark/>
          </w:tcPr>
          <w:p w14:paraId="62302314" w14:textId="2D4B8B39" w:rsidR="007A77BA" w:rsidRPr="00E36A5A" w:rsidRDefault="007A77BA" w:rsidP="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fastställda före 1.1.2002</w:t>
            </w:r>
          </w:p>
        </w:tc>
      </w:tr>
      <w:tr w:rsidR="007A77BA" w14:paraId="0190C5FA" w14:textId="77777777" w:rsidTr="007A77BA">
        <w:trPr>
          <w:trHeight w:val="109"/>
        </w:trPr>
        <w:tc>
          <w:tcPr>
            <w:tcW w:w="2977" w:type="dxa"/>
            <w:tcBorders>
              <w:top w:val="nil"/>
              <w:left w:val="nil"/>
              <w:bottom w:val="nil"/>
              <w:right w:val="nil"/>
            </w:tcBorders>
            <w:hideMark/>
          </w:tcPr>
          <w:p w14:paraId="09324768"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1.1.2009</w:t>
            </w:r>
          </w:p>
        </w:tc>
        <w:tc>
          <w:tcPr>
            <w:tcW w:w="2041" w:type="dxa"/>
            <w:tcBorders>
              <w:top w:val="nil"/>
              <w:left w:val="nil"/>
              <w:bottom w:val="nil"/>
              <w:right w:val="nil"/>
            </w:tcBorders>
            <w:hideMark/>
          </w:tcPr>
          <w:p w14:paraId="68EA1202"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5 %</w:t>
            </w:r>
          </w:p>
        </w:tc>
        <w:tc>
          <w:tcPr>
            <w:tcW w:w="2637" w:type="dxa"/>
            <w:tcBorders>
              <w:top w:val="nil"/>
              <w:left w:val="nil"/>
              <w:bottom w:val="nil"/>
              <w:right w:val="nil"/>
            </w:tcBorders>
            <w:hideMark/>
          </w:tcPr>
          <w:p w14:paraId="76C1BD86" w14:textId="7B1F18D8"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fastställda före 1.1.2007</w:t>
            </w:r>
          </w:p>
        </w:tc>
      </w:tr>
      <w:tr w:rsidR="007A77BA" w14:paraId="5205AA68" w14:textId="77777777" w:rsidTr="007A77BA">
        <w:trPr>
          <w:trHeight w:val="109"/>
        </w:trPr>
        <w:tc>
          <w:tcPr>
            <w:tcW w:w="2977" w:type="dxa"/>
            <w:tcBorders>
              <w:top w:val="nil"/>
              <w:left w:val="nil"/>
              <w:bottom w:val="nil"/>
              <w:right w:val="nil"/>
            </w:tcBorders>
            <w:hideMark/>
          </w:tcPr>
          <w:p w14:paraId="2A07CAE2"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1.1.2010</w:t>
            </w:r>
          </w:p>
        </w:tc>
        <w:tc>
          <w:tcPr>
            <w:tcW w:w="2041" w:type="dxa"/>
            <w:tcBorders>
              <w:top w:val="nil"/>
              <w:left w:val="nil"/>
              <w:bottom w:val="nil"/>
              <w:right w:val="nil"/>
            </w:tcBorders>
            <w:hideMark/>
          </w:tcPr>
          <w:p w14:paraId="07FF0963"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2,30 %</w:t>
            </w:r>
          </w:p>
        </w:tc>
        <w:tc>
          <w:tcPr>
            <w:tcW w:w="2637" w:type="dxa"/>
            <w:tcBorders>
              <w:top w:val="nil"/>
              <w:left w:val="nil"/>
              <w:bottom w:val="nil"/>
              <w:right w:val="nil"/>
            </w:tcBorders>
            <w:hideMark/>
          </w:tcPr>
          <w:p w14:paraId="5E17CC4E" w14:textId="2CEF8EC2"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tc>
      </w:tr>
      <w:tr w:rsidR="007A77BA" w14:paraId="25C674AF" w14:textId="77777777" w:rsidTr="007A77BA">
        <w:trPr>
          <w:trHeight w:val="109"/>
        </w:trPr>
        <w:tc>
          <w:tcPr>
            <w:tcW w:w="2977" w:type="dxa"/>
            <w:tcBorders>
              <w:top w:val="nil"/>
              <w:left w:val="nil"/>
              <w:bottom w:val="nil"/>
              <w:right w:val="nil"/>
            </w:tcBorders>
            <w:hideMark/>
          </w:tcPr>
          <w:p w14:paraId="3E6746AD"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1.1.2011</w:t>
            </w:r>
          </w:p>
        </w:tc>
        <w:tc>
          <w:tcPr>
            <w:tcW w:w="2041" w:type="dxa"/>
            <w:tcBorders>
              <w:top w:val="nil"/>
              <w:left w:val="nil"/>
              <w:bottom w:val="nil"/>
              <w:right w:val="nil"/>
            </w:tcBorders>
            <w:hideMark/>
          </w:tcPr>
          <w:p w14:paraId="1B0F2E18"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2,38 %</w:t>
            </w:r>
          </w:p>
        </w:tc>
        <w:tc>
          <w:tcPr>
            <w:tcW w:w="2637" w:type="dxa"/>
            <w:tcBorders>
              <w:top w:val="nil"/>
              <w:left w:val="nil"/>
              <w:bottom w:val="nil"/>
              <w:right w:val="nil"/>
            </w:tcBorders>
            <w:hideMark/>
          </w:tcPr>
          <w:p w14:paraId="306820FE" w14:textId="051AEC8C"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tc>
      </w:tr>
      <w:tr w:rsidR="007A77BA" w14:paraId="7B6C1FFD" w14:textId="77777777" w:rsidTr="007A77BA">
        <w:trPr>
          <w:trHeight w:val="109"/>
        </w:trPr>
        <w:tc>
          <w:tcPr>
            <w:tcW w:w="2977" w:type="dxa"/>
            <w:tcBorders>
              <w:top w:val="nil"/>
              <w:left w:val="nil"/>
              <w:bottom w:val="nil"/>
              <w:right w:val="nil"/>
            </w:tcBorders>
            <w:hideMark/>
          </w:tcPr>
          <w:p w14:paraId="49773132"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1.1.2012</w:t>
            </w:r>
          </w:p>
        </w:tc>
        <w:tc>
          <w:tcPr>
            <w:tcW w:w="2041" w:type="dxa"/>
            <w:tcBorders>
              <w:top w:val="nil"/>
              <w:left w:val="nil"/>
              <w:bottom w:val="nil"/>
              <w:right w:val="nil"/>
            </w:tcBorders>
            <w:hideMark/>
          </w:tcPr>
          <w:p w14:paraId="7CA719E9"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3,57 %</w:t>
            </w:r>
          </w:p>
        </w:tc>
        <w:tc>
          <w:tcPr>
            <w:tcW w:w="2637" w:type="dxa"/>
            <w:tcBorders>
              <w:top w:val="nil"/>
              <w:left w:val="nil"/>
              <w:bottom w:val="nil"/>
              <w:right w:val="nil"/>
            </w:tcBorders>
            <w:hideMark/>
          </w:tcPr>
          <w:p w14:paraId="3199FC2D" w14:textId="0018CCBC"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tc>
      </w:tr>
      <w:tr w:rsidR="007A77BA" w14:paraId="6D8DC0DF" w14:textId="77777777" w:rsidTr="007A77BA">
        <w:trPr>
          <w:trHeight w:val="109"/>
        </w:trPr>
        <w:tc>
          <w:tcPr>
            <w:tcW w:w="2977" w:type="dxa"/>
            <w:tcBorders>
              <w:top w:val="nil"/>
              <w:left w:val="nil"/>
              <w:bottom w:val="nil"/>
              <w:right w:val="nil"/>
            </w:tcBorders>
            <w:hideMark/>
          </w:tcPr>
          <w:p w14:paraId="7E141E59"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1.1.2013</w:t>
            </w:r>
          </w:p>
        </w:tc>
        <w:tc>
          <w:tcPr>
            <w:tcW w:w="2041" w:type="dxa"/>
            <w:tcBorders>
              <w:top w:val="nil"/>
              <w:left w:val="nil"/>
              <w:bottom w:val="nil"/>
              <w:right w:val="nil"/>
            </w:tcBorders>
            <w:hideMark/>
          </w:tcPr>
          <w:p w14:paraId="64DD3CD5"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2,63 %</w:t>
            </w:r>
          </w:p>
        </w:tc>
        <w:tc>
          <w:tcPr>
            <w:tcW w:w="2637" w:type="dxa"/>
            <w:tcBorders>
              <w:top w:val="nil"/>
              <w:left w:val="nil"/>
              <w:bottom w:val="nil"/>
              <w:right w:val="nil"/>
            </w:tcBorders>
            <w:hideMark/>
          </w:tcPr>
          <w:p w14:paraId="1673A500" w14:textId="7652675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tc>
      </w:tr>
      <w:tr w:rsidR="007A77BA" w14:paraId="08CCCEEA" w14:textId="77777777" w:rsidTr="007A77BA">
        <w:trPr>
          <w:trHeight w:val="109"/>
        </w:trPr>
        <w:tc>
          <w:tcPr>
            <w:tcW w:w="2977" w:type="dxa"/>
            <w:tcBorders>
              <w:top w:val="nil"/>
              <w:left w:val="nil"/>
              <w:bottom w:val="nil"/>
              <w:right w:val="nil"/>
            </w:tcBorders>
            <w:hideMark/>
          </w:tcPr>
          <w:p w14:paraId="722D1CFA"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1.1.2014</w:t>
            </w:r>
          </w:p>
        </w:tc>
        <w:tc>
          <w:tcPr>
            <w:tcW w:w="2041" w:type="dxa"/>
            <w:tcBorders>
              <w:top w:val="nil"/>
              <w:left w:val="nil"/>
              <w:bottom w:val="nil"/>
              <w:right w:val="nil"/>
            </w:tcBorders>
            <w:hideMark/>
          </w:tcPr>
          <w:p w14:paraId="47BD874D"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1,17 %</w:t>
            </w:r>
          </w:p>
        </w:tc>
        <w:tc>
          <w:tcPr>
            <w:tcW w:w="2637" w:type="dxa"/>
            <w:tcBorders>
              <w:top w:val="nil"/>
              <w:left w:val="nil"/>
              <w:bottom w:val="nil"/>
              <w:right w:val="nil"/>
            </w:tcBorders>
            <w:hideMark/>
          </w:tcPr>
          <w:p w14:paraId="4CFC5EC7" w14:textId="4AF4D5E1"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tc>
      </w:tr>
      <w:tr w:rsidR="007A77BA" w14:paraId="20535D97" w14:textId="77777777" w:rsidTr="007A77BA">
        <w:trPr>
          <w:trHeight w:val="109"/>
        </w:trPr>
        <w:tc>
          <w:tcPr>
            <w:tcW w:w="2977" w:type="dxa"/>
            <w:tcBorders>
              <w:top w:val="nil"/>
              <w:left w:val="nil"/>
              <w:bottom w:val="nil"/>
              <w:right w:val="nil"/>
            </w:tcBorders>
            <w:hideMark/>
          </w:tcPr>
          <w:p w14:paraId="342A9996"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1.1.2015</w:t>
            </w:r>
          </w:p>
        </w:tc>
        <w:tc>
          <w:tcPr>
            <w:tcW w:w="2041" w:type="dxa"/>
            <w:tcBorders>
              <w:top w:val="nil"/>
              <w:left w:val="nil"/>
              <w:bottom w:val="nil"/>
              <w:right w:val="nil"/>
            </w:tcBorders>
            <w:hideMark/>
          </w:tcPr>
          <w:p w14:paraId="6152DA45"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1,00 %</w:t>
            </w:r>
          </w:p>
        </w:tc>
        <w:tc>
          <w:tcPr>
            <w:tcW w:w="2637" w:type="dxa"/>
            <w:tcBorders>
              <w:top w:val="nil"/>
              <w:left w:val="nil"/>
              <w:bottom w:val="nil"/>
              <w:right w:val="nil"/>
            </w:tcBorders>
            <w:hideMark/>
          </w:tcPr>
          <w:p w14:paraId="428C6D8C" w14:textId="61028EB9"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tc>
      </w:tr>
      <w:tr w:rsidR="007A77BA" w14:paraId="5C5F0280" w14:textId="77777777" w:rsidTr="007A77BA">
        <w:trPr>
          <w:trHeight w:val="109"/>
        </w:trPr>
        <w:tc>
          <w:tcPr>
            <w:tcW w:w="2977" w:type="dxa"/>
            <w:tcBorders>
              <w:top w:val="nil"/>
              <w:left w:val="nil"/>
              <w:bottom w:val="nil"/>
              <w:right w:val="nil"/>
            </w:tcBorders>
            <w:hideMark/>
          </w:tcPr>
          <w:p w14:paraId="393A3981"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1.1.2016</w:t>
            </w:r>
          </w:p>
        </w:tc>
        <w:tc>
          <w:tcPr>
            <w:tcW w:w="2041" w:type="dxa"/>
            <w:tcBorders>
              <w:top w:val="nil"/>
              <w:left w:val="nil"/>
              <w:bottom w:val="nil"/>
              <w:right w:val="nil"/>
            </w:tcBorders>
            <w:hideMark/>
          </w:tcPr>
          <w:p w14:paraId="09BCE6EE"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-0,26 %</w:t>
            </w:r>
          </w:p>
        </w:tc>
        <w:tc>
          <w:tcPr>
            <w:tcW w:w="2637" w:type="dxa"/>
            <w:tcBorders>
              <w:top w:val="nil"/>
              <w:left w:val="nil"/>
              <w:bottom w:val="nil"/>
              <w:right w:val="nil"/>
            </w:tcBorders>
            <w:hideMark/>
          </w:tcPr>
          <w:p w14:paraId="2EF3DC81" w14:textId="3D12322D"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tc>
      </w:tr>
      <w:tr w:rsidR="007A77BA" w14:paraId="4033C779" w14:textId="77777777" w:rsidTr="007A77BA">
        <w:trPr>
          <w:trHeight w:val="109"/>
        </w:trPr>
        <w:tc>
          <w:tcPr>
            <w:tcW w:w="2977" w:type="dxa"/>
            <w:tcBorders>
              <w:top w:val="nil"/>
              <w:left w:val="nil"/>
              <w:bottom w:val="nil"/>
              <w:right w:val="nil"/>
            </w:tcBorders>
            <w:hideMark/>
          </w:tcPr>
          <w:p w14:paraId="43EFC6D6" w14:textId="38D369A8"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1.1.2017</w:t>
            </w:r>
          </w:p>
          <w:p w14:paraId="60ABCD84"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1.1.2018</w:t>
            </w:r>
          </w:p>
        </w:tc>
        <w:tc>
          <w:tcPr>
            <w:tcW w:w="2041" w:type="dxa"/>
            <w:tcBorders>
              <w:top w:val="nil"/>
              <w:left w:val="nil"/>
              <w:bottom w:val="nil"/>
              <w:right w:val="nil"/>
            </w:tcBorders>
            <w:hideMark/>
          </w:tcPr>
          <w:p w14:paraId="39F82F9F"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0,47 %</w:t>
            </w:r>
          </w:p>
          <w:p w14:paraId="0147CB78"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s="TimesNewRomanPSMT"/>
                <w:color w:val="7F7F7F" w:themeColor="text1" w:themeTint="80"/>
                <w:sz w:val="22"/>
                <w:szCs w:val="22"/>
                <w:lang w:val="en-US" w:eastAsia="en-US"/>
              </w:rPr>
              <w:t>0,57 %</w:t>
            </w:r>
          </w:p>
        </w:tc>
        <w:tc>
          <w:tcPr>
            <w:tcW w:w="2637" w:type="dxa"/>
            <w:tcBorders>
              <w:top w:val="nil"/>
              <w:left w:val="nil"/>
              <w:bottom w:val="nil"/>
              <w:right w:val="nil"/>
            </w:tcBorders>
            <w:hideMark/>
          </w:tcPr>
          <w:p w14:paraId="3A5572DE" w14:textId="6E571B0E"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p w14:paraId="7B2471EF" w14:textId="5CC4651A"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tc>
      </w:tr>
      <w:tr w:rsidR="007A77BA" w14:paraId="10DCC9C1" w14:textId="77777777" w:rsidTr="007A77BA">
        <w:trPr>
          <w:trHeight w:val="109"/>
        </w:trPr>
        <w:tc>
          <w:tcPr>
            <w:tcW w:w="2977" w:type="dxa"/>
            <w:tcBorders>
              <w:top w:val="nil"/>
              <w:left w:val="nil"/>
              <w:bottom w:val="nil"/>
              <w:right w:val="nil"/>
            </w:tcBorders>
            <w:hideMark/>
          </w:tcPr>
          <w:p w14:paraId="1D784B4B"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1.1.2019</w:t>
            </w:r>
          </w:p>
        </w:tc>
        <w:tc>
          <w:tcPr>
            <w:tcW w:w="2041" w:type="dxa"/>
            <w:tcBorders>
              <w:top w:val="nil"/>
              <w:left w:val="nil"/>
              <w:bottom w:val="nil"/>
              <w:right w:val="nil"/>
            </w:tcBorders>
            <w:hideMark/>
          </w:tcPr>
          <w:p w14:paraId="2AED4A06" w14:textId="77777777"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1,5 %</w:t>
            </w:r>
          </w:p>
        </w:tc>
        <w:tc>
          <w:tcPr>
            <w:tcW w:w="2637" w:type="dxa"/>
            <w:tcBorders>
              <w:top w:val="nil"/>
              <w:left w:val="nil"/>
              <w:bottom w:val="nil"/>
              <w:right w:val="nil"/>
            </w:tcBorders>
            <w:hideMark/>
          </w:tcPr>
          <w:p w14:paraId="6C3D907C" w14:textId="74F4DB05" w:rsidR="007A77BA" w:rsidRPr="00E36A5A" w:rsidRDefault="007A77BA">
            <w:pPr>
              <w:pStyle w:val="Default"/>
              <w:rPr>
                <w:rFonts w:ascii="Myriad Pro" w:hAnsi="Myriad Pro"/>
                <w:color w:val="7F7F7F" w:themeColor="text1" w:themeTint="80"/>
                <w:sz w:val="23"/>
                <w:szCs w:val="23"/>
                <w:lang w:val="en-US" w:eastAsia="en-US"/>
              </w:rPr>
            </w:pPr>
            <w:r w:rsidRPr="00E36A5A">
              <w:rPr>
                <w:rFonts w:ascii="Myriad Pro" w:hAnsi="Myriad Pro"/>
                <w:color w:val="7F7F7F" w:themeColor="text1" w:themeTint="80"/>
                <w:sz w:val="23"/>
                <w:szCs w:val="23"/>
                <w:lang w:val="en-US" w:eastAsia="en-US"/>
              </w:rPr>
              <w:t>alla avtal</w:t>
            </w:r>
          </w:p>
        </w:tc>
      </w:tr>
    </w:tbl>
    <w:p w14:paraId="1709D0D0" w14:textId="098160B0" w:rsidR="00FC3C6E" w:rsidRDefault="00FC3C6E" w:rsidP="00FC3C6E"/>
    <w:p w14:paraId="4366F237" w14:textId="77777777" w:rsidR="007E1E07" w:rsidRDefault="007E1E07" w:rsidP="00FC3C6E"/>
    <w:p w14:paraId="0062A373" w14:textId="724C0432" w:rsidR="005F1694" w:rsidRPr="00FC3C6E" w:rsidRDefault="00FC3C6E" w:rsidP="005F1694">
      <w:pPr>
        <w:pStyle w:val="Underrubrik"/>
      </w:pPr>
      <w:r w:rsidRPr="00FC3C6E">
        <w:t>Indexjustering av beloppen i anvisningen om underhållsbidrag</w:t>
      </w:r>
    </w:p>
    <w:p w14:paraId="2B64B229" w14:textId="77777777" w:rsidR="00FC3C6E" w:rsidRPr="00FC3C6E" w:rsidRDefault="00FC3C6E" w:rsidP="00FC3C6E">
      <w:pPr>
        <w:rPr>
          <w:shd w:val="clear" w:color="auto" w:fill="FFFFFF"/>
          <w:lang w:eastAsia="fi-FI"/>
        </w:rPr>
      </w:pPr>
      <w:r w:rsidRPr="00FC3C6E">
        <w:rPr>
          <w:shd w:val="clear" w:color="auto" w:fill="FFFFFF"/>
          <w:lang w:eastAsia="fi-FI"/>
        </w:rPr>
        <w:t xml:space="preserve">Kommunerna fick i juni 2007 en anvisning för bedömning av storleken på underhållsbidrag till barn, som beretts i samarbete mellan justitieministeriet och social- och hälsovårdsministeriet (se social- och hälsovårdsministeriets kommuninfo 7/2007). Anvisningen har publicerats som justitieministeriets publikation 2007:3. Publikationens finns på justitieministeriets webbplats både på finska och svenska. </w:t>
      </w:r>
    </w:p>
    <w:p w14:paraId="51138DFC" w14:textId="698B6A39" w:rsidR="00FC3C6E" w:rsidRPr="00FC3C6E" w:rsidRDefault="00FC3C6E" w:rsidP="00FC3C6E">
      <w:pPr>
        <w:rPr>
          <w:shd w:val="clear" w:color="auto" w:fill="FFFFFF"/>
          <w:lang w:eastAsia="fi-FI"/>
        </w:rPr>
      </w:pPr>
      <w:r w:rsidRPr="00FC3C6E">
        <w:rPr>
          <w:shd w:val="clear" w:color="auto" w:fill="FFFFFF"/>
          <w:lang w:eastAsia="fi-FI"/>
        </w:rPr>
        <w:t>Avsikten med anvisningen är att förenhetliga de kommunala socialmyndigheternas verksamhet när de vägleder föräldrarna att göra en korrekt beräkning av underhålls</w:t>
      </w:r>
      <w:r w:rsidR="001D1247">
        <w:rPr>
          <w:shd w:val="clear" w:color="auto" w:fill="FFFFFF"/>
          <w:lang w:eastAsia="fi-FI"/>
        </w:rPr>
        <w:t>bidragets storlek och när de be</w:t>
      </w:r>
      <w:r w:rsidRPr="00FC3C6E">
        <w:rPr>
          <w:shd w:val="clear" w:color="auto" w:fill="FFFFFF"/>
          <w:lang w:eastAsia="fi-FI"/>
        </w:rPr>
        <w:t>dömer om ett avtal som föräldrarna har ingått kan fastställas. Anvisningen b</w:t>
      </w:r>
      <w:r w:rsidR="001D1247">
        <w:rPr>
          <w:shd w:val="clear" w:color="auto" w:fill="FFFFFF"/>
          <w:lang w:eastAsia="fi-FI"/>
        </w:rPr>
        <w:t>ygger på bestämmelser</w:t>
      </w:r>
      <w:r w:rsidRPr="00FC3C6E">
        <w:rPr>
          <w:shd w:val="clear" w:color="auto" w:fill="FFFFFF"/>
          <w:lang w:eastAsia="fi-FI"/>
        </w:rPr>
        <w:t>na i lagen om underhåll för barn. Den är emellertid inte bindande för myndigheterna utan den har rättslig karaktär av en anvisning som gäller grunder för fastställande av underhållsbidrag.</w:t>
      </w:r>
    </w:p>
    <w:p w14:paraId="763AD423" w14:textId="77777777" w:rsidR="00FC3C6E" w:rsidRPr="00FC3C6E" w:rsidRDefault="00FC3C6E" w:rsidP="00FC3C6E">
      <w:pPr>
        <w:rPr>
          <w:shd w:val="clear" w:color="auto" w:fill="FFFFFF"/>
          <w:lang w:eastAsia="fi-FI"/>
        </w:rPr>
      </w:pPr>
      <w:r w:rsidRPr="00FC3C6E">
        <w:rPr>
          <w:shd w:val="clear" w:color="auto" w:fill="FFFFFF"/>
          <w:lang w:eastAsia="fi-FI"/>
        </w:rPr>
        <w:t>Beloppen i anvisningen baserar sig på tiden då anvisningen utarbetades. För att anvisningen ska vara tidsenlig justeras beloppen i anvisningen kalenderårsvis vid ingången av året med ett procentbelopp som motsvarar den indexjustering som fastställs för underhållsbidraget. Underhållsbidragen stiger med 1,5 procent från ingången av år 2019.</w:t>
      </w:r>
    </w:p>
    <w:p w14:paraId="49E92984" w14:textId="77777777" w:rsidR="00FC3C6E" w:rsidRPr="00FC3C6E" w:rsidRDefault="00FC3C6E" w:rsidP="00FC3C6E">
      <w:pPr>
        <w:rPr>
          <w:shd w:val="clear" w:color="auto" w:fill="FFFFFF"/>
          <w:lang w:eastAsia="fi-FI"/>
        </w:rPr>
      </w:pPr>
      <w:r w:rsidRPr="00FC3C6E">
        <w:rPr>
          <w:shd w:val="clear" w:color="auto" w:fill="FFFFFF"/>
          <w:lang w:eastAsia="fi-FI"/>
        </w:rPr>
        <w:t>Efter kalkyleringen har resultatet avrundats till närmaste hela euro. Beloppen för umgängesavdragen under rubrik 4.2 i anvisningen har dock avrundats till närmaste 50 cent.</w:t>
      </w:r>
    </w:p>
    <w:p w14:paraId="11785D74" w14:textId="77777777" w:rsidR="00FC3C6E" w:rsidRPr="001D1247" w:rsidRDefault="00FC3C6E" w:rsidP="00FC3C6E">
      <w:pPr>
        <w:rPr>
          <w:b/>
          <w:shd w:val="clear" w:color="auto" w:fill="FFFFFF"/>
          <w:lang w:eastAsia="fi-FI"/>
        </w:rPr>
      </w:pPr>
      <w:r w:rsidRPr="001D1247">
        <w:rPr>
          <w:b/>
          <w:shd w:val="clear" w:color="auto" w:fill="FFFFFF"/>
          <w:lang w:eastAsia="fi-FI"/>
        </w:rPr>
        <w:t>Beloppen i anvisningen om underhållsbidrag är fr.o.m. 1.1.2019 som följer:</w:t>
      </w:r>
    </w:p>
    <w:p w14:paraId="65934B76" w14:textId="61F5F073" w:rsidR="00FC3C6E" w:rsidRPr="001D1247" w:rsidRDefault="001D1247" w:rsidP="001D1247">
      <w:pPr>
        <w:rPr>
          <w:shd w:val="clear" w:color="auto" w:fill="FFFFFF"/>
          <w:lang w:eastAsia="fi-FI"/>
        </w:rPr>
      </w:pPr>
      <w:r w:rsidRPr="001D1247">
        <w:rPr>
          <w:shd w:val="clear" w:color="auto" w:fill="FFFFFF"/>
          <w:lang w:eastAsia="fi-FI"/>
        </w:rPr>
        <w:t>-</w:t>
      </w:r>
      <w:r>
        <w:rPr>
          <w:shd w:val="clear" w:color="auto" w:fill="FFFFFF"/>
          <w:lang w:eastAsia="fi-FI"/>
        </w:rPr>
        <w:t xml:space="preserve"> </w:t>
      </w:r>
      <w:r w:rsidR="00FC3C6E" w:rsidRPr="001D1247">
        <w:rPr>
          <w:shd w:val="clear" w:color="auto" w:fill="FFFFFF"/>
          <w:lang w:eastAsia="fi-FI"/>
        </w:rPr>
        <w:t>rubrik 2.2.2: Beloppen för allmänna kostnader är</w:t>
      </w:r>
    </w:p>
    <w:p w14:paraId="5EC2E347" w14:textId="13090F00" w:rsidR="00FC3C6E" w:rsidRPr="001D1247" w:rsidRDefault="00FC3C6E" w:rsidP="001D1247">
      <w:pPr>
        <w:pStyle w:val="Liststycke"/>
        <w:numPr>
          <w:ilvl w:val="0"/>
          <w:numId w:val="5"/>
        </w:numPr>
        <w:rPr>
          <w:shd w:val="clear" w:color="auto" w:fill="FFFFFF"/>
          <w:lang w:eastAsia="fi-FI"/>
        </w:rPr>
      </w:pPr>
      <w:r w:rsidRPr="001D1247">
        <w:rPr>
          <w:shd w:val="clear" w:color="auto" w:fill="FFFFFF"/>
          <w:lang w:eastAsia="fi-FI"/>
        </w:rPr>
        <w:t>303 euro i månaden när barnet är 0−6 år,</w:t>
      </w:r>
    </w:p>
    <w:p w14:paraId="75960CD5" w14:textId="1F9DBEF4" w:rsidR="00FC3C6E" w:rsidRPr="001D1247" w:rsidRDefault="00FC3C6E" w:rsidP="001D1247">
      <w:pPr>
        <w:pStyle w:val="Liststycke"/>
        <w:numPr>
          <w:ilvl w:val="0"/>
          <w:numId w:val="5"/>
        </w:numPr>
        <w:rPr>
          <w:shd w:val="clear" w:color="auto" w:fill="FFFFFF"/>
          <w:lang w:eastAsia="fi-FI"/>
        </w:rPr>
      </w:pPr>
      <w:r w:rsidRPr="001D1247">
        <w:rPr>
          <w:shd w:val="clear" w:color="auto" w:fill="FFFFFF"/>
          <w:lang w:eastAsia="fi-FI"/>
        </w:rPr>
        <w:t>353 euro i månaden när barnet är 7−12 år,</w:t>
      </w:r>
    </w:p>
    <w:p w14:paraId="187732C1" w14:textId="1DE168D2" w:rsidR="00FC3C6E" w:rsidRPr="001D1247" w:rsidRDefault="00FC3C6E" w:rsidP="001D1247">
      <w:pPr>
        <w:pStyle w:val="Liststycke"/>
        <w:numPr>
          <w:ilvl w:val="0"/>
          <w:numId w:val="5"/>
        </w:numPr>
        <w:rPr>
          <w:shd w:val="clear" w:color="auto" w:fill="FFFFFF"/>
          <w:lang w:eastAsia="fi-FI"/>
        </w:rPr>
      </w:pPr>
      <w:r w:rsidRPr="001D1247">
        <w:rPr>
          <w:shd w:val="clear" w:color="auto" w:fill="FFFFFF"/>
          <w:lang w:eastAsia="fi-FI"/>
        </w:rPr>
        <w:t>476 euro i månaden när barnet är 13−17 år.</w:t>
      </w:r>
    </w:p>
    <w:p w14:paraId="2C0BA421" w14:textId="6190655F" w:rsidR="00FC3C6E" w:rsidRPr="001D1247" w:rsidRDefault="001D1247" w:rsidP="001D1247">
      <w:pPr>
        <w:rPr>
          <w:shd w:val="clear" w:color="auto" w:fill="FFFFFF"/>
          <w:lang w:eastAsia="fi-FI"/>
        </w:rPr>
      </w:pPr>
      <w:r w:rsidRPr="001D1247">
        <w:rPr>
          <w:shd w:val="clear" w:color="auto" w:fill="FFFFFF"/>
          <w:lang w:eastAsia="fi-FI"/>
        </w:rPr>
        <w:t>-</w:t>
      </w:r>
      <w:r>
        <w:rPr>
          <w:shd w:val="clear" w:color="auto" w:fill="FFFFFF"/>
          <w:lang w:eastAsia="fi-FI"/>
        </w:rPr>
        <w:t xml:space="preserve"> </w:t>
      </w:r>
      <w:r w:rsidR="00FC3C6E" w:rsidRPr="001D1247">
        <w:rPr>
          <w:shd w:val="clear" w:color="auto" w:fill="FFFFFF"/>
          <w:lang w:eastAsia="fi-FI"/>
        </w:rPr>
        <w:t xml:space="preserve">rubrik 3.3.1.2: Beloppen för allmänna levnadskostnader är </w:t>
      </w:r>
    </w:p>
    <w:p w14:paraId="55A45B08" w14:textId="47C22470" w:rsidR="00FC3C6E" w:rsidRPr="001D1247" w:rsidRDefault="00FC3C6E" w:rsidP="001D1247">
      <w:pPr>
        <w:pStyle w:val="Liststycke"/>
        <w:numPr>
          <w:ilvl w:val="0"/>
          <w:numId w:val="7"/>
        </w:numPr>
        <w:rPr>
          <w:shd w:val="clear" w:color="auto" w:fill="FFFFFF"/>
          <w:lang w:eastAsia="fi-FI"/>
        </w:rPr>
      </w:pPr>
      <w:r w:rsidRPr="001D1247">
        <w:rPr>
          <w:shd w:val="clear" w:color="auto" w:fill="FFFFFF"/>
          <w:lang w:eastAsia="fi-FI"/>
        </w:rPr>
        <w:t xml:space="preserve">609 euro i månaden för en ensamstående eller en ensamförsörjare, </w:t>
      </w:r>
    </w:p>
    <w:p w14:paraId="1D4521F7" w14:textId="47542261" w:rsidR="00FC3C6E" w:rsidRPr="001D1247" w:rsidRDefault="00FC3C6E" w:rsidP="001D1247">
      <w:pPr>
        <w:pStyle w:val="Liststycke"/>
        <w:numPr>
          <w:ilvl w:val="0"/>
          <w:numId w:val="7"/>
        </w:numPr>
        <w:rPr>
          <w:shd w:val="clear" w:color="auto" w:fill="FFFFFF"/>
          <w:lang w:eastAsia="fi-FI"/>
        </w:rPr>
      </w:pPr>
      <w:r w:rsidRPr="001D1247">
        <w:rPr>
          <w:shd w:val="clear" w:color="auto" w:fill="FFFFFF"/>
          <w:lang w:eastAsia="fi-FI"/>
        </w:rPr>
        <w:t>513 euro i månaden för en person som lever i ett samboförhållande, äktenskap eller annat parförhållande.</w:t>
      </w:r>
    </w:p>
    <w:p w14:paraId="05E8ADC5" w14:textId="011BCA71" w:rsidR="00FC3C6E" w:rsidRPr="001D1247" w:rsidRDefault="001D1247" w:rsidP="001D1247">
      <w:pPr>
        <w:rPr>
          <w:shd w:val="clear" w:color="auto" w:fill="FFFFFF"/>
          <w:lang w:eastAsia="fi-FI"/>
        </w:rPr>
      </w:pPr>
      <w:r w:rsidRPr="001D1247">
        <w:rPr>
          <w:shd w:val="clear" w:color="auto" w:fill="FFFFFF"/>
          <w:lang w:eastAsia="fi-FI"/>
        </w:rPr>
        <w:t>-</w:t>
      </w:r>
      <w:r>
        <w:rPr>
          <w:shd w:val="clear" w:color="auto" w:fill="FFFFFF"/>
          <w:lang w:eastAsia="fi-FI"/>
        </w:rPr>
        <w:t xml:space="preserve"> </w:t>
      </w:r>
      <w:r w:rsidR="00FC3C6E" w:rsidRPr="001D1247">
        <w:rPr>
          <w:shd w:val="clear" w:color="auto" w:fill="FFFFFF"/>
          <w:lang w:eastAsia="fi-FI"/>
        </w:rPr>
        <w:t>rubrik 3.3.6.4: Om en förälders make respektive maka för sin försörjning är beroende av sin partner av ett godtagbart skäl, får denne göra avdrag för makens respektive makans allmänna levnadskostnader och boendekostnader. Det högsta avdr</w:t>
      </w:r>
      <w:r>
        <w:rPr>
          <w:shd w:val="clear" w:color="auto" w:fill="FFFFFF"/>
          <w:lang w:eastAsia="fi-FI"/>
        </w:rPr>
        <w:t>agsbeloppet är för allmänna lev</w:t>
      </w:r>
      <w:r w:rsidR="00FC3C6E" w:rsidRPr="001D1247">
        <w:rPr>
          <w:shd w:val="clear" w:color="auto" w:fill="FFFFFF"/>
          <w:lang w:eastAsia="fi-FI"/>
        </w:rPr>
        <w:t>nadskostnaders del 513 euro i månaden och för boendekost</w:t>
      </w:r>
      <w:r>
        <w:rPr>
          <w:shd w:val="clear" w:color="auto" w:fill="FFFFFF"/>
          <w:lang w:eastAsia="fi-FI"/>
        </w:rPr>
        <w:t>naders del det belopp som kalky</w:t>
      </w:r>
      <w:r w:rsidR="00FC3C6E" w:rsidRPr="001D1247">
        <w:rPr>
          <w:shd w:val="clear" w:color="auto" w:fill="FFFFFF"/>
          <w:lang w:eastAsia="fi-FI"/>
        </w:rPr>
        <w:t>leras i enlighet med punkten 1−5 under rubrik 3.3.2.</w:t>
      </w:r>
    </w:p>
    <w:p w14:paraId="396FB0A2" w14:textId="5A1DB27C" w:rsidR="00FC3C6E" w:rsidRPr="00FC3C6E" w:rsidRDefault="001D1247" w:rsidP="00FC3C6E">
      <w:pPr>
        <w:rPr>
          <w:shd w:val="clear" w:color="auto" w:fill="FFFFFF"/>
          <w:lang w:eastAsia="fi-FI"/>
        </w:rPr>
      </w:pPr>
      <w:r>
        <w:rPr>
          <w:shd w:val="clear" w:color="auto" w:fill="FFFFFF"/>
          <w:lang w:eastAsia="fi-FI"/>
        </w:rPr>
        <w:t xml:space="preserve">- </w:t>
      </w:r>
      <w:r w:rsidR="00FC3C6E" w:rsidRPr="00FC3C6E">
        <w:rPr>
          <w:shd w:val="clear" w:color="auto" w:fill="FFFFFF"/>
          <w:lang w:eastAsia="fi-FI"/>
        </w:rPr>
        <w:t>rubrik 3.3.6.5: Om en förälders sambo är helt eller delvis bero</w:t>
      </w:r>
      <w:r>
        <w:rPr>
          <w:shd w:val="clear" w:color="auto" w:fill="FFFFFF"/>
          <w:lang w:eastAsia="fi-FI"/>
        </w:rPr>
        <w:t>ende av sin partner för sin för</w:t>
      </w:r>
      <w:r w:rsidR="00FC3C6E" w:rsidRPr="00FC3C6E">
        <w:rPr>
          <w:shd w:val="clear" w:color="auto" w:fill="FFFFFF"/>
          <w:lang w:eastAsia="fi-FI"/>
        </w:rPr>
        <w:t>sörjning till följd av att han eller hon tar hand om deras gemensamma barn, får denne göra avdrag för sambos allmänna levnadskostnader,</w:t>
      </w:r>
      <w:r w:rsidR="00544594">
        <w:rPr>
          <w:shd w:val="clear" w:color="auto" w:fill="FFFFFF"/>
          <w:lang w:eastAsia="fi-FI"/>
        </w:rPr>
        <w:t xml:space="preserve"> dock högst 254 euro i månaden.</w:t>
      </w:r>
    </w:p>
    <w:p w14:paraId="5436B3D0" w14:textId="0BE7B336" w:rsidR="00FC3C6E" w:rsidRPr="00FC3C6E" w:rsidRDefault="001D1247" w:rsidP="00FC3C6E">
      <w:pPr>
        <w:rPr>
          <w:shd w:val="clear" w:color="auto" w:fill="FFFFFF"/>
          <w:lang w:eastAsia="fi-FI"/>
        </w:rPr>
      </w:pPr>
      <w:r>
        <w:rPr>
          <w:shd w:val="clear" w:color="auto" w:fill="FFFFFF"/>
          <w:lang w:eastAsia="fi-FI"/>
        </w:rPr>
        <w:t xml:space="preserve">- </w:t>
      </w:r>
      <w:r w:rsidR="00FC3C6E" w:rsidRPr="00FC3C6E">
        <w:rPr>
          <w:shd w:val="clear" w:color="auto" w:fill="FFFFFF"/>
          <w:lang w:eastAsia="fi-FI"/>
        </w:rPr>
        <w:t>rubrik 3.3.7: Resekostnader för umgänge med barn beak</w:t>
      </w:r>
      <w:r>
        <w:rPr>
          <w:shd w:val="clear" w:color="auto" w:fill="FFFFFF"/>
          <w:lang w:eastAsia="fi-FI"/>
        </w:rPr>
        <w:t>tas som avdrag på underhållsför</w:t>
      </w:r>
      <w:r w:rsidR="00FC3C6E" w:rsidRPr="00FC3C6E">
        <w:rPr>
          <w:shd w:val="clear" w:color="auto" w:fill="FFFFFF"/>
          <w:lang w:eastAsia="fi-FI"/>
        </w:rPr>
        <w:t xml:space="preserve">mågan hos den förälder som svarar för kostnaderna. Kostnaderna beaktas enligt billigaste ändamålsenliga färdsätt. Avdraget </w:t>
      </w:r>
      <w:r w:rsidR="00FC3C6E" w:rsidRPr="00FC3C6E">
        <w:rPr>
          <w:shd w:val="clear" w:color="auto" w:fill="FFFFFF"/>
          <w:lang w:eastAsia="fi-FI"/>
        </w:rPr>
        <w:lastRenderedPageBreak/>
        <w:t>får göras endast till den del som överstiger 123 euro i månaden per barn. Avdraget får uppgå till högst 123 euro i månaden per barn.</w:t>
      </w:r>
    </w:p>
    <w:p w14:paraId="519D1BE9" w14:textId="77777777" w:rsidR="00FC3C6E" w:rsidRPr="00FC3C6E" w:rsidRDefault="00FC3C6E" w:rsidP="00FC3C6E">
      <w:pPr>
        <w:rPr>
          <w:shd w:val="clear" w:color="auto" w:fill="FFFFFF"/>
          <w:lang w:eastAsia="fi-FI"/>
        </w:rPr>
      </w:pPr>
      <w:r w:rsidRPr="00FC3C6E">
        <w:rPr>
          <w:shd w:val="clear" w:color="auto" w:fill="FFFFFF"/>
          <w:lang w:eastAsia="fi-FI"/>
        </w:rPr>
        <w:t xml:space="preserve">Rubrik 4.2.1. Umgängesavdragets storlek framgår av följande tabell: </w:t>
      </w:r>
    </w:p>
    <w:tbl>
      <w:tblPr>
        <w:tblW w:w="0" w:type="auto"/>
        <w:tblLayout w:type="fixed"/>
        <w:tblLook w:val="0000" w:firstRow="0" w:lastRow="0" w:firstColumn="0" w:lastColumn="0" w:noHBand="0" w:noVBand="0"/>
      </w:tblPr>
      <w:tblGrid>
        <w:gridCol w:w="2569"/>
        <w:gridCol w:w="1589"/>
        <w:gridCol w:w="1529"/>
        <w:gridCol w:w="1529"/>
      </w:tblGrid>
      <w:tr w:rsidR="00FC3C6E" w:rsidRPr="00DD42D0" w14:paraId="12B88D36" w14:textId="77777777" w:rsidTr="00544594">
        <w:trPr>
          <w:trHeight w:val="249"/>
        </w:trPr>
        <w:tc>
          <w:tcPr>
            <w:tcW w:w="2569" w:type="dxa"/>
            <w:vAlign w:val="center"/>
          </w:tcPr>
          <w:p w14:paraId="50B0E5AD" w14:textId="77777777" w:rsidR="00FC3C6E" w:rsidRPr="00E36A5A" w:rsidRDefault="00FC3C6E" w:rsidP="00544594">
            <w:pPr>
              <w:autoSpaceDE w:val="0"/>
              <w:autoSpaceDN w:val="0"/>
              <w:adjustRightInd w:val="0"/>
              <w:jc w:val="both"/>
              <w:rPr>
                <w:rFonts w:cs="TimesNewRomanPSMT"/>
                <w:b/>
                <w:bCs/>
                <w:lang w:eastAsia="fi-FI"/>
              </w:rPr>
            </w:pPr>
            <w:r w:rsidRPr="00E36A5A">
              <w:rPr>
                <w:rFonts w:cs="TimesNewRomanPSMT"/>
                <w:b/>
                <w:bCs/>
                <w:lang w:eastAsia="fi-FI"/>
              </w:rPr>
              <w:t>Vistelsen i snitt</w:t>
            </w:r>
          </w:p>
        </w:tc>
        <w:tc>
          <w:tcPr>
            <w:tcW w:w="1589" w:type="dxa"/>
            <w:vAlign w:val="center"/>
          </w:tcPr>
          <w:p w14:paraId="2D6801BB" w14:textId="07937C32" w:rsidR="00FC3C6E" w:rsidRPr="00E36A5A" w:rsidRDefault="00FC3C6E" w:rsidP="00544594">
            <w:pPr>
              <w:autoSpaceDE w:val="0"/>
              <w:autoSpaceDN w:val="0"/>
              <w:adjustRightInd w:val="0"/>
              <w:jc w:val="both"/>
              <w:rPr>
                <w:rFonts w:cs="TimesNewRomanPSMT"/>
                <w:b/>
                <w:bCs/>
                <w:lang w:eastAsia="fi-FI"/>
              </w:rPr>
            </w:pPr>
            <w:r w:rsidRPr="00E36A5A">
              <w:rPr>
                <w:rFonts w:cs="TimesNewRomanPSMT"/>
                <w:b/>
                <w:bCs/>
                <w:lang w:eastAsia="fi-FI"/>
              </w:rPr>
              <w:t>0–6 år</w:t>
            </w:r>
          </w:p>
        </w:tc>
        <w:tc>
          <w:tcPr>
            <w:tcW w:w="1529" w:type="dxa"/>
            <w:vAlign w:val="center"/>
          </w:tcPr>
          <w:p w14:paraId="0A171B49" w14:textId="001F75FC" w:rsidR="00FC3C6E" w:rsidRPr="00E36A5A" w:rsidRDefault="00FC3C6E" w:rsidP="00544594">
            <w:pPr>
              <w:autoSpaceDE w:val="0"/>
              <w:autoSpaceDN w:val="0"/>
              <w:adjustRightInd w:val="0"/>
              <w:jc w:val="both"/>
              <w:rPr>
                <w:rFonts w:cs="TimesNewRomanPSMT"/>
                <w:b/>
                <w:bCs/>
                <w:lang w:eastAsia="fi-FI"/>
              </w:rPr>
            </w:pPr>
            <w:r w:rsidRPr="00E36A5A">
              <w:rPr>
                <w:rFonts w:cs="TimesNewRomanPSMT"/>
                <w:b/>
                <w:bCs/>
                <w:lang w:eastAsia="fi-FI"/>
              </w:rPr>
              <w:t>7–12 år</w:t>
            </w:r>
          </w:p>
        </w:tc>
        <w:tc>
          <w:tcPr>
            <w:tcW w:w="1529" w:type="dxa"/>
            <w:vAlign w:val="center"/>
          </w:tcPr>
          <w:p w14:paraId="337E6369" w14:textId="40C132CD" w:rsidR="00FC3C6E" w:rsidRPr="00E36A5A" w:rsidRDefault="00FC3C6E" w:rsidP="00544594">
            <w:pPr>
              <w:autoSpaceDE w:val="0"/>
              <w:autoSpaceDN w:val="0"/>
              <w:adjustRightInd w:val="0"/>
              <w:jc w:val="both"/>
              <w:rPr>
                <w:rFonts w:cs="TimesNewRomanPSMT"/>
                <w:b/>
                <w:bCs/>
                <w:lang w:eastAsia="fi-FI"/>
              </w:rPr>
            </w:pPr>
            <w:r w:rsidRPr="00E36A5A">
              <w:rPr>
                <w:rFonts w:cs="TimesNewRomanPSMT"/>
                <w:b/>
                <w:bCs/>
                <w:lang w:eastAsia="fi-FI"/>
              </w:rPr>
              <w:t>13–17 år</w:t>
            </w:r>
          </w:p>
        </w:tc>
      </w:tr>
      <w:tr w:rsidR="00FC3C6E" w:rsidRPr="00DD42D0" w14:paraId="623A532B" w14:textId="77777777" w:rsidTr="00544594">
        <w:trPr>
          <w:trHeight w:val="112"/>
        </w:trPr>
        <w:tc>
          <w:tcPr>
            <w:tcW w:w="2569" w:type="dxa"/>
            <w:vAlign w:val="center"/>
          </w:tcPr>
          <w:p w14:paraId="4D0E10D5" w14:textId="77777777"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färre än 7 nätter/månad</w:t>
            </w:r>
          </w:p>
        </w:tc>
        <w:tc>
          <w:tcPr>
            <w:tcW w:w="1589" w:type="dxa"/>
            <w:vAlign w:val="center"/>
          </w:tcPr>
          <w:p w14:paraId="2FA88868" w14:textId="4901F3FD"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inget avdrag</w:t>
            </w:r>
          </w:p>
        </w:tc>
        <w:tc>
          <w:tcPr>
            <w:tcW w:w="1529" w:type="dxa"/>
            <w:vAlign w:val="center"/>
          </w:tcPr>
          <w:p w14:paraId="6F85CD21" w14:textId="77777777"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inget avdrag</w:t>
            </w:r>
          </w:p>
        </w:tc>
        <w:tc>
          <w:tcPr>
            <w:tcW w:w="1529" w:type="dxa"/>
            <w:vAlign w:val="center"/>
          </w:tcPr>
          <w:p w14:paraId="7B1B5289" w14:textId="77777777"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inget avdrag</w:t>
            </w:r>
          </w:p>
        </w:tc>
      </w:tr>
      <w:tr w:rsidR="00FC3C6E" w:rsidRPr="00DD42D0" w14:paraId="7B5F6E0B" w14:textId="77777777" w:rsidTr="00544594">
        <w:trPr>
          <w:trHeight w:val="112"/>
        </w:trPr>
        <w:tc>
          <w:tcPr>
            <w:tcW w:w="2569" w:type="dxa"/>
            <w:vAlign w:val="center"/>
          </w:tcPr>
          <w:p w14:paraId="72958D22" w14:textId="77777777"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7–9 nätter/månad</w:t>
            </w:r>
          </w:p>
        </w:tc>
        <w:tc>
          <w:tcPr>
            <w:tcW w:w="1589" w:type="dxa"/>
            <w:vAlign w:val="center"/>
          </w:tcPr>
          <w:p w14:paraId="6E543C7F" w14:textId="5239BF65"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32,00 €</w:t>
            </w:r>
          </w:p>
        </w:tc>
        <w:tc>
          <w:tcPr>
            <w:tcW w:w="1529" w:type="dxa"/>
            <w:vAlign w:val="center"/>
          </w:tcPr>
          <w:p w14:paraId="30A1CAC0" w14:textId="0C70648E"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34,00 €</w:t>
            </w:r>
          </w:p>
        </w:tc>
        <w:tc>
          <w:tcPr>
            <w:tcW w:w="1529" w:type="dxa"/>
            <w:vAlign w:val="center"/>
          </w:tcPr>
          <w:p w14:paraId="49EBEFE8" w14:textId="4ECE4D6A"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37,50 €</w:t>
            </w:r>
          </w:p>
        </w:tc>
      </w:tr>
      <w:tr w:rsidR="00FC3C6E" w:rsidRPr="00DD42D0" w14:paraId="58C822BF" w14:textId="77777777" w:rsidTr="00544594">
        <w:trPr>
          <w:trHeight w:val="112"/>
        </w:trPr>
        <w:tc>
          <w:tcPr>
            <w:tcW w:w="2569" w:type="dxa"/>
            <w:vAlign w:val="center"/>
          </w:tcPr>
          <w:p w14:paraId="170DA93D" w14:textId="2B55B423"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10–12 nätter/månad</w:t>
            </w:r>
          </w:p>
        </w:tc>
        <w:tc>
          <w:tcPr>
            <w:tcW w:w="1589" w:type="dxa"/>
            <w:vAlign w:val="center"/>
          </w:tcPr>
          <w:p w14:paraId="02224BC7" w14:textId="5B7CAD54"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42,50 €</w:t>
            </w:r>
          </w:p>
        </w:tc>
        <w:tc>
          <w:tcPr>
            <w:tcW w:w="1529" w:type="dxa"/>
            <w:vAlign w:val="center"/>
          </w:tcPr>
          <w:p w14:paraId="78C1B0C2" w14:textId="591256D7"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46,00 €</w:t>
            </w:r>
          </w:p>
        </w:tc>
        <w:tc>
          <w:tcPr>
            <w:tcW w:w="1529" w:type="dxa"/>
            <w:vAlign w:val="center"/>
          </w:tcPr>
          <w:p w14:paraId="39A70DC5" w14:textId="2F9A6274"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52,50 €</w:t>
            </w:r>
          </w:p>
        </w:tc>
      </w:tr>
      <w:tr w:rsidR="00FC3C6E" w:rsidRPr="00E56713" w14:paraId="065CBE1F" w14:textId="77777777" w:rsidTr="00544594">
        <w:trPr>
          <w:trHeight w:val="112"/>
        </w:trPr>
        <w:tc>
          <w:tcPr>
            <w:tcW w:w="2569" w:type="dxa"/>
            <w:vAlign w:val="center"/>
          </w:tcPr>
          <w:p w14:paraId="10E9CD9C" w14:textId="11EC6CAC"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13–15 nätter/månad</w:t>
            </w:r>
          </w:p>
        </w:tc>
        <w:tc>
          <w:tcPr>
            <w:tcW w:w="1589" w:type="dxa"/>
            <w:vAlign w:val="center"/>
          </w:tcPr>
          <w:p w14:paraId="74819370" w14:textId="50BFC8A4"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56,00 €</w:t>
            </w:r>
          </w:p>
        </w:tc>
        <w:tc>
          <w:tcPr>
            <w:tcW w:w="1529" w:type="dxa"/>
            <w:vAlign w:val="center"/>
          </w:tcPr>
          <w:p w14:paraId="2A02319D" w14:textId="688126E0"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60,00 €</w:t>
            </w:r>
          </w:p>
        </w:tc>
        <w:tc>
          <w:tcPr>
            <w:tcW w:w="1529" w:type="dxa"/>
            <w:vAlign w:val="center"/>
          </w:tcPr>
          <w:p w14:paraId="31362CAD" w14:textId="3DBD3D69" w:rsidR="00FC3C6E" w:rsidRPr="00E36A5A" w:rsidRDefault="00FC3C6E" w:rsidP="00544594">
            <w:pPr>
              <w:autoSpaceDE w:val="0"/>
              <w:autoSpaceDN w:val="0"/>
              <w:adjustRightInd w:val="0"/>
              <w:jc w:val="both"/>
              <w:rPr>
                <w:rFonts w:cs="TimesNewRomanPSMT"/>
                <w:lang w:eastAsia="fi-FI"/>
              </w:rPr>
            </w:pPr>
            <w:r w:rsidRPr="00E36A5A">
              <w:rPr>
                <w:rFonts w:cs="TimesNewRomanPSMT"/>
                <w:lang w:eastAsia="fi-FI"/>
              </w:rPr>
              <w:t>65,50 €</w:t>
            </w:r>
          </w:p>
        </w:tc>
      </w:tr>
    </w:tbl>
    <w:p w14:paraId="63251FA8" w14:textId="6099F098" w:rsidR="005F1694" w:rsidRDefault="005F1694" w:rsidP="005F1694">
      <w:pPr>
        <w:rPr>
          <w:shd w:val="clear" w:color="auto" w:fill="FFFFFF"/>
          <w:lang w:eastAsia="fi-FI"/>
        </w:rPr>
      </w:pPr>
    </w:p>
    <w:p w14:paraId="2C821DAF" w14:textId="77777777" w:rsidR="005F1694" w:rsidRPr="00FC3C6E" w:rsidRDefault="005F1694" w:rsidP="005F1694">
      <w:pPr>
        <w:pStyle w:val="Underrubrik"/>
      </w:pPr>
      <w:r w:rsidRPr="00FC3C6E">
        <w:t>Ytteligare information</w:t>
      </w:r>
    </w:p>
    <w:p w14:paraId="46F1A994" w14:textId="4B9878C7" w:rsidR="00AE2575" w:rsidRPr="007E1E07" w:rsidRDefault="00FC3C6E" w:rsidP="007E1E07">
      <w:pPr>
        <w:pStyle w:val="Listietojenantaja"/>
      </w:pPr>
      <w:r w:rsidRPr="00FC3C6E">
        <w:rPr>
          <w:lang w:val="sv-SE"/>
        </w:rPr>
        <w:t xml:space="preserve">I enskilda ärenden som gäller underhållsbidrag kan mer information fås av barnatillsyningsmannen i den egna hemkommunen. </w:t>
      </w:r>
      <w:r w:rsidRPr="00FC3C6E">
        <w:t>Underhållsstödet beviljas och betalas ut av Folkpensionsanstalten.</w:t>
      </w:r>
    </w:p>
    <w:sectPr w:rsidR="00AE2575" w:rsidRPr="007E1E07" w:rsidSect="00C50A20">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851" w:header="1304"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601A" w14:textId="77777777" w:rsidR="00963BED" w:rsidRDefault="00963BED" w:rsidP="000B1C27">
      <w:r>
        <w:separator/>
      </w:r>
    </w:p>
  </w:endnote>
  <w:endnote w:type="continuationSeparator" w:id="0">
    <w:p w14:paraId="3F808734" w14:textId="77777777" w:rsidR="00963BED" w:rsidRDefault="00963BED" w:rsidP="000B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4237" w14:textId="77777777" w:rsidR="00CD53A6" w:rsidRDefault="00CD53A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1BF03" w14:textId="77777777" w:rsidR="00122F8A" w:rsidRDefault="00122F8A" w:rsidP="00122F8A">
    <w:pPr>
      <w:pStyle w:val="Listietojenantaja"/>
    </w:pPr>
    <w:r>
      <w:rPr>
        <w:noProof/>
        <w:lang w:val="sv-SE" w:eastAsia="sv-SE"/>
      </w:rPr>
      <mc:AlternateContent>
        <mc:Choice Requires="wps">
          <w:drawing>
            <wp:anchor distT="0" distB="0" distL="114300" distR="114300" simplePos="0" relativeHeight="251710464" behindDoc="0" locked="0" layoutInCell="1" allowOverlap="1" wp14:anchorId="49280352" wp14:editId="1F142F64">
              <wp:simplePos x="0" y="0"/>
              <wp:positionH relativeFrom="column">
                <wp:posOffset>0</wp:posOffset>
              </wp:positionH>
              <wp:positionV relativeFrom="paragraph">
                <wp:posOffset>55880</wp:posOffset>
              </wp:positionV>
              <wp:extent cx="7473950" cy="28575"/>
              <wp:effectExtent l="0" t="0" r="0" b="0"/>
              <wp:wrapNone/>
              <wp:docPr id="1" name="Suorakulmi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28575"/>
                      </a:xfrm>
                      <a:prstGeom prst="rect">
                        <a:avLst/>
                      </a:prstGeom>
                      <a:solidFill>
                        <a:srgbClr val="F5B7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5F54CFD8" id="Suorakulmio 1" o:spid="_x0000_s1026" style="position:absolute;margin-left:0;margin-top:4.4pt;width:588.5pt;height:2.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" fillcolor="#f5b719" stroked="f" strokeweight="1pt">
              <v:path arrowok="t"/>
            </v:rect>
          </w:pict>
        </mc:Fallback>
      </mc:AlternateContent>
    </w:r>
  </w:p>
  <w:p w14:paraId="1329D732" w14:textId="77777777" w:rsidR="00122F8A" w:rsidRPr="00B82D51" w:rsidRDefault="00122F8A" w:rsidP="00122F8A">
    <w:pPr>
      <w:pStyle w:val="Sidfot"/>
      <w:rPr>
        <w:lang w:val="fi-FI"/>
      </w:rPr>
    </w:pPr>
    <w:r w:rsidRPr="00B82D51">
      <w:rPr>
        <w:lang w:val="fi-FI"/>
      </w:rPr>
      <w:t xml:space="preserve">SOSIAALI- JA TERVEYSMINISTERIÖ Meritullinkatu 8, Helsinki. PL 33, 00023 Valtioneuvosto.  </w:t>
    </w:r>
  </w:p>
  <w:p w14:paraId="13DAFE7F" w14:textId="646AD78F" w:rsidR="00122F8A" w:rsidRPr="00122F8A" w:rsidRDefault="00122F8A">
    <w:pPr>
      <w:pStyle w:val="Sidfot"/>
      <w:rPr>
        <w:lang w:val="fi-FI"/>
      </w:rPr>
    </w:pPr>
    <w:r w:rsidRPr="00B82D51">
      <w:rPr>
        <w:lang w:val="fi-FI"/>
      </w:rPr>
      <w:t xml:space="preserve">0295 16001, stm.fi, @STM_Uutiset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A91C" w14:textId="5F531C56" w:rsidR="00F11FB5" w:rsidRDefault="00F11FB5" w:rsidP="0004663C">
    <w:pPr>
      <w:pStyle w:val="Listietojenantaja"/>
    </w:pPr>
  </w:p>
  <w:p w14:paraId="57831E7A" w14:textId="63A86999" w:rsidR="00D116CF" w:rsidRDefault="00D116CF" w:rsidP="0004663C">
    <w:pPr>
      <w:pStyle w:val="Listietojenantaja"/>
    </w:pPr>
    <w:r>
      <w:rPr>
        <w:noProof/>
        <w:lang w:val="sv-SE" w:eastAsia="sv-SE"/>
      </w:rPr>
      <mc:AlternateContent>
        <mc:Choice Requires="wps">
          <w:drawing>
            <wp:anchor distT="0" distB="0" distL="114300" distR="114300" simplePos="0" relativeHeight="251705344" behindDoc="0" locked="0" layoutInCell="1" allowOverlap="1" wp14:anchorId="6D0195D6" wp14:editId="4EE805D2">
              <wp:simplePos x="0" y="0"/>
              <wp:positionH relativeFrom="column">
                <wp:posOffset>0</wp:posOffset>
              </wp:positionH>
              <wp:positionV relativeFrom="paragraph">
                <wp:posOffset>55880</wp:posOffset>
              </wp:positionV>
              <wp:extent cx="7473950" cy="28575"/>
              <wp:effectExtent l="0" t="0" r="0" b="0"/>
              <wp:wrapNone/>
              <wp:docPr id="5" name="Suorakulmi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73950" cy="28575"/>
                      </a:xfrm>
                      <a:prstGeom prst="rect">
                        <a:avLst/>
                      </a:prstGeom>
                      <a:solidFill>
                        <a:srgbClr val="F5B71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rect w14:anchorId="71A382A5" id="Suorakulmio 5" o:spid="_x0000_s1026" style="position:absolute;margin-left:0;margin-top:4.4pt;width:588.5pt;height: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" fillcolor="#f5b719" stroked="f" strokeweight="1pt"/>
          </w:pict>
        </mc:Fallback>
      </mc:AlternateContent>
    </w:r>
  </w:p>
  <w:p w14:paraId="3A43EB99" w14:textId="71A35043" w:rsidR="00203590" w:rsidRPr="00203590" w:rsidRDefault="00203590" w:rsidP="00203590">
    <w:pPr>
      <w:pStyle w:val="Sidfot"/>
      <w:rPr>
        <w:lang w:val="fi-FI"/>
      </w:rPr>
    </w:pPr>
    <w:r w:rsidRPr="00203590">
      <w:t xml:space="preserve">SOCIAL- OCH HÄLSOVÅRDSMINISTERIET, Sjötullsgatan 8, Helsingfors. </w:t>
    </w:r>
    <w:r w:rsidR="00CD53A6">
      <w:rPr>
        <w:lang w:val="fi-FI"/>
      </w:rPr>
      <w:t>PB33, 00023</w:t>
    </w:r>
    <w:r w:rsidRPr="00203590">
      <w:rPr>
        <w:lang w:val="fi-FI"/>
      </w:rPr>
      <w:t xml:space="preserve"> Statsrådet</w:t>
    </w:r>
    <w:r>
      <w:rPr>
        <w:lang w:val="fi-FI"/>
      </w:rPr>
      <w:t>.</w:t>
    </w:r>
  </w:p>
  <w:p w14:paraId="2863CFF6" w14:textId="7BE0F84A" w:rsidR="0004663C" w:rsidRPr="0004663C" w:rsidRDefault="00203590" w:rsidP="00203590">
    <w:pPr>
      <w:pStyle w:val="Sidfot"/>
      <w:rPr>
        <w:lang w:val="fi-FI"/>
      </w:rPr>
    </w:pPr>
    <w:r w:rsidRPr="00203590">
      <w:rPr>
        <w:lang w:val="fi-FI"/>
      </w:rPr>
      <w:t>0295 16001, stm.fi</w:t>
    </w:r>
    <w:r>
      <w:rPr>
        <w:lang w:val="fi-FI"/>
      </w:rPr>
      <w:t>,</w:t>
    </w:r>
    <w:r w:rsidRPr="00203590">
      <w:rPr>
        <w:lang w:val="fi-FI"/>
      </w:rPr>
      <w:t xml:space="preserve"> @SHM_Nyheter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06A59" w14:textId="77777777" w:rsidR="00963BED" w:rsidRDefault="00963BED" w:rsidP="000B1C27">
      <w:r>
        <w:separator/>
      </w:r>
    </w:p>
  </w:footnote>
  <w:footnote w:type="continuationSeparator" w:id="0">
    <w:p w14:paraId="2A76A089" w14:textId="77777777" w:rsidR="00963BED" w:rsidRDefault="00963BED" w:rsidP="000B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F39BC" w14:textId="05351FC1" w:rsidR="007D6BCA" w:rsidRDefault="00B539FC">
    <w:pPr>
      <w:pStyle w:val="Sidhuvud"/>
    </w:pPr>
    <w:r>
      <w:rPr>
        <w:noProof/>
        <w:lang w:val="fi-FI" w:eastAsia="fi-FI"/>
      </w:rPr>
      <w:pict w14:anchorId="1E29A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mari/Documents/STM-tiedotepohja-2017/pohjakuva-suomi-01.png" style="position:absolute;left:0;text-align:left;margin-left:0;margin-top:0;width:612.55pt;height:859.25pt;z-index:-251609088;mso-wrap-edited:f;mso-width-percent:0;mso-height-percent:0;mso-position-horizontal:center;mso-position-horizontal-relative:margin;mso-position-vertical:center;mso-position-vertical-relative:margin;mso-width-percent:0;mso-height-percent:0" o:allowincell="f">
          <v:imagedata r:id="rId1" o:title="pohjakuva-suomi-01"/>
          <w10:wrap anchorx="margin" anchory="margin"/>
        </v:shape>
      </w:pict>
    </w:r>
    <w:r w:rsidR="00EA5864">
      <w:rPr>
        <w:noProof/>
        <w:lang w:eastAsia="sv-SE"/>
      </w:rPr>
      <w:drawing>
        <wp:anchor distT="0" distB="0" distL="114300" distR="114300" simplePos="0" relativeHeight="251701248" behindDoc="1" locked="0" layoutInCell="0" allowOverlap="1" wp14:anchorId="5E91069B" wp14:editId="4CA8DD0D">
          <wp:simplePos x="0" y="0"/>
          <wp:positionH relativeFrom="margin">
            <wp:align>center</wp:align>
          </wp:positionH>
          <wp:positionV relativeFrom="margin">
            <wp:align>center</wp:align>
          </wp:positionV>
          <wp:extent cx="7779385" cy="10912475"/>
          <wp:effectExtent l="0" t="0" r="0" b="0"/>
          <wp:wrapNone/>
          <wp:docPr id="4" name="Kuva 4" descr="/Users/mari/Documents/STM-tiedotepohja-2017/pohjakuva-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ari/Documents/STM-tiedotepohja-2017/pohjakuva-suomi-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5B0351">
      <w:rPr>
        <w:noProof/>
        <w:lang w:eastAsia="sv-SE"/>
      </w:rPr>
      <w:drawing>
        <wp:anchor distT="0" distB="0" distL="114300" distR="114300" simplePos="0" relativeHeight="251696128" behindDoc="1" locked="0" layoutInCell="0" allowOverlap="1" wp14:anchorId="3327C3ED" wp14:editId="4BFC17DF">
          <wp:simplePos x="0" y="0"/>
          <wp:positionH relativeFrom="margin">
            <wp:align>center</wp:align>
          </wp:positionH>
          <wp:positionV relativeFrom="margin">
            <wp:align>center</wp:align>
          </wp:positionV>
          <wp:extent cx="7779385" cy="10912475"/>
          <wp:effectExtent l="0" t="0" r="0" b="0"/>
          <wp:wrapNone/>
          <wp:docPr id="70" name="Kuva 2" descr="/Users/mari/Documents/STM-tiedotepohja-2017/sivupohja-uus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s/mari/Documents/STM-tiedotepohja-2017/sivupohja-uusi-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Pr>
        <w:noProof/>
        <w:lang w:val="fi-FI" w:eastAsia="fi-FI"/>
      </w:rPr>
      <w:pict w14:anchorId="212AC039">
        <v:shape id="WordPictureWatermark5" o:spid="_x0000_s2049" type="#_x0000_t75" alt="/Users/mari/Documents/STM-tiedotepohja-2017/pohjakuva-uusi-01.png" style="position:absolute;left:0;text-align:left;margin-left:0;margin-top:0;width:612.55pt;height:859.25pt;z-index:-251626496;mso-wrap-edited:f;mso-width-percent:0;mso-height-percent:0;mso-position-horizontal:center;mso-position-horizontal-relative:margin;mso-position-vertical:center;mso-position-vertical-relative:margin;mso-width-percent:0;mso-height-percent:0" o:allowincell="f">
          <v:imagedata r:id="rId4" o:title="pohjakuva-uusi-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16E4" w14:textId="43A38013" w:rsidR="00122F8A" w:rsidRDefault="00C50A20" w:rsidP="00C50A20">
    <w:pPr>
      <w:pStyle w:val="Sidhuvud"/>
      <w:jc w:val="center"/>
    </w:pPr>
    <w:r>
      <w:tab/>
    </w:r>
    <w:r>
      <w:tab/>
    </w:r>
    <w:r w:rsidR="00122F8A">
      <w:fldChar w:fldCharType="begin"/>
    </w:r>
    <w:r w:rsidR="00122F8A">
      <w:instrText xml:space="preserve"> PAGE  \* MERGEFORMAT </w:instrText>
    </w:r>
    <w:r w:rsidR="00122F8A">
      <w:fldChar w:fldCharType="separate"/>
    </w:r>
    <w:r w:rsidR="00B539FC">
      <w:rPr>
        <w:noProof/>
      </w:rPr>
      <w:t>2</w:t>
    </w:r>
    <w:r w:rsidR="00122F8A">
      <w:fldChar w:fldCharType="end"/>
    </w:r>
    <w:r w:rsidR="00122F8A">
      <w:t xml:space="preserve"> / </w:t>
    </w:r>
    <w:r w:rsidR="00521360">
      <w:rPr>
        <w:noProof/>
      </w:rPr>
      <w:fldChar w:fldCharType="begin"/>
    </w:r>
    <w:r w:rsidR="00521360">
      <w:rPr>
        <w:noProof/>
      </w:rPr>
      <w:instrText xml:space="preserve"> NUMPAGES  \* MERGEFORMAT </w:instrText>
    </w:r>
    <w:r w:rsidR="00521360">
      <w:rPr>
        <w:noProof/>
      </w:rPr>
      <w:fldChar w:fldCharType="separate"/>
    </w:r>
    <w:r w:rsidR="00B539FC">
      <w:rPr>
        <w:noProof/>
      </w:rPr>
      <w:t>3</w:t>
    </w:r>
    <w:r w:rsidR="00521360">
      <w:rPr>
        <w:noProof/>
      </w:rPr>
      <w:fldChar w:fldCharType="end"/>
    </w:r>
  </w:p>
  <w:p w14:paraId="2C2C1461" w14:textId="77777777" w:rsidR="00C50A20" w:rsidRDefault="00C50A2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nummer"/>
      </w:rPr>
      <w:id w:val="-553548922"/>
      <w:docPartObj>
        <w:docPartGallery w:val="Page Numbers (Top of Page)"/>
        <w:docPartUnique/>
      </w:docPartObj>
    </w:sdtPr>
    <w:sdtEndPr>
      <w:rPr>
        <w:rStyle w:val="Sidnummer"/>
      </w:rPr>
    </w:sdtEndPr>
    <w:sdtContent>
      <w:p w14:paraId="74D983D0" w14:textId="5946BC6F" w:rsidR="007A07B7" w:rsidRDefault="007A07B7" w:rsidP="007A07B7">
        <w:pPr>
          <w:pStyle w:val="Sidhuvud"/>
          <w:framePr w:h="295" w:hRule="exact" w:wrap="none" w:vAnchor="text" w:hAnchor="page" w:x="10465" w:y="389"/>
          <w:jc w:val="center"/>
          <w:rPr>
            <w:rStyle w:val="Sidnummer"/>
          </w:rPr>
        </w:pPr>
        <w:r>
          <w:fldChar w:fldCharType="begin"/>
        </w:r>
        <w:r>
          <w:instrText xml:space="preserve"> PAGE  \* MERGEFORMAT </w:instrText>
        </w:r>
        <w:r>
          <w:fldChar w:fldCharType="separate"/>
        </w:r>
        <w:r w:rsidR="00B539FC">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sidR="00B539FC">
          <w:rPr>
            <w:noProof/>
          </w:rPr>
          <w:t>3</w:t>
        </w:r>
        <w:r>
          <w:rPr>
            <w:noProof/>
          </w:rPr>
          <w:fldChar w:fldCharType="end"/>
        </w:r>
      </w:p>
    </w:sdtContent>
  </w:sdt>
  <w:p w14:paraId="3D12558C" w14:textId="2D9C177A" w:rsidR="007D6BCA" w:rsidRDefault="00A03D11" w:rsidP="00183950">
    <w:pPr>
      <w:pStyle w:val="Sidhuvud"/>
    </w:pPr>
    <w:r>
      <w:rPr>
        <w:noProof/>
        <w:lang w:eastAsia="sv-SE"/>
      </w:rPr>
      <w:drawing>
        <wp:anchor distT="0" distB="0" distL="114300" distR="114300" simplePos="0" relativeHeight="251715584" behindDoc="0" locked="0" layoutInCell="1" allowOverlap="1" wp14:anchorId="2399F2C4" wp14:editId="72BED00E">
          <wp:simplePos x="0" y="0"/>
          <wp:positionH relativeFrom="column">
            <wp:posOffset>-21639</wp:posOffset>
          </wp:positionH>
          <wp:positionV relativeFrom="paragraph">
            <wp:posOffset>-80694</wp:posOffset>
          </wp:positionV>
          <wp:extent cx="2535250" cy="51480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_logo_virallinen_RGB_SV.jpg"/>
                  <pic:cNvPicPr/>
                </pic:nvPicPr>
                <pic:blipFill>
                  <a:blip r:embed="rId1">
                    <a:extLst>
                      <a:ext uri="{28A0092B-C50C-407E-A947-70E740481C1C}">
                        <a14:useLocalDpi xmlns:a14="http://schemas.microsoft.com/office/drawing/2010/main" val="0"/>
                      </a:ext>
                    </a:extLst>
                  </a:blip>
                  <a:stretch>
                    <a:fillRect/>
                  </a:stretch>
                </pic:blipFill>
                <pic:spPr>
                  <a:xfrm>
                    <a:off x="0" y="0"/>
                    <a:ext cx="2535250" cy="514800"/>
                  </a:xfrm>
                  <a:prstGeom prst="rect">
                    <a:avLst/>
                  </a:prstGeom>
                </pic:spPr>
              </pic:pic>
            </a:graphicData>
          </a:graphic>
          <wp14:sizeRelH relativeFrom="page">
            <wp14:pctWidth>0</wp14:pctWidth>
          </wp14:sizeRelH>
          <wp14:sizeRelV relativeFrom="page">
            <wp14:pctHeight>0</wp14:pctHeight>
          </wp14:sizeRelV>
        </wp:anchor>
      </w:drawing>
    </w:r>
  </w:p>
  <w:p w14:paraId="0368B81A" w14:textId="047E4C0E" w:rsidR="007D6BCA" w:rsidRDefault="007D6BCA" w:rsidP="00183950">
    <w:pPr>
      <w:pStyle w:val="Sidhuvud"/>
    </w:pPr>
  </w:p>
  <w:p w14:paraId="298A99EB" w14:textId="53B9DEBE" w:rsidR="007D6BCA" w:rsidRDefault="007D6BCA" w:rsidP="007A07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DA1"/>
    <w:multiLevelType w:val="hybridMultilevel"/>
    <w:tmpl w:val="B04E2E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9F36A06"/>
    <w:multiLevelType w:val="hybridMultilevel"/>
    <w:tmpl w:val="13A88036"/>
    <w:lvl w:ilvl="0" w:tplc="56AC7A3E">
      <w:start w:val="18"/>
      <w:numFmt w:val="bullet"/>
      <w:lvlText w:val="-"/>
      <w:lvlJc w:val="left"/>
      <w:pPr>
        <w:ind w:left="720" w:hanging="360"/>
      </w:pPr>
      <w:rPr>
        <w:rFonts w:ascii="Myriad Pro" w:eastAsiaTheme="minorEastAsia" w:hAnsi="Myriad Pro" w:cstheme="minorBidi" w:hint="default"/>
        <w:b/>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1573C90"/>
    <w:multiLevelType w:val="hybridMultilevel"/>
    <w:tmpl w:val="5D2842E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B995AF1"/>
    <w:multiLevelType w:val="hybridMultilevel"/>
    <w:tmpl w:val="F070B494"/>
    <w:lvl w:ilvl="0" w:tplc="2A7427B2">
      <w:start w:val="1"/>
      <w:numFmt w:val="bullet"/>
      <w:lvlText w:val="-"/>
      <w:lvlJc w:val="left"/>
      <w:pPr>
        <w:ind w:left="720" w:hanging="360"/>
      </w:pPr>
      <w:rPr>
        <w:rFonts w:ascii="Myriad Pro" w:eastAsiaTheme="minorHAnsi" w:hAnsi="Myriad Pro"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EDC4425"/>
    <w:multiLevelType w:val="hybridMultilevel"/>
    <w:tmpl w:val="224C2420"/>
    <w:lvl w:ilvl="0" w:tplc="2A7427B2">
      <w:start w:val="1"/>
      <w:numFmt w:val="bullet"/>
      <w:lvlText w:val="-"/>
      <w:lvlJc w:val="left"/>
      <w:pPr>
        <w:ind w:left="720" w:hanging="360"/>
      </w:pPr>
      <w:rPr>
        <w:rFonts w:ascii="Myriad Pro" w:eastAsiaTheme="minorHAnsi" w:hAnsi="Myriad Pro"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65C790A"/>
    <w:multiLevelType w:val="hybridMultilevel"/>
    <w:tmpl w:val="477E1FFE"/>
    <w:lvl w:ilvl="0" w:tplc="2A7427B2">
      <w:start w:val="1"/>
      <w:numFmt w:val="bullet"/>
      <w:lvlText w:val="-"/>
      <w:lvlJc w:val="left"/>
      <w:pPr>
        <w:ind w:left="720" w:hanging="360"/>
      </w:pPr>
      <w:rPr>
        <w:rFonts w:ascii="Myriad Pro" w:eastAsiaTheme="minorHAnsi" w:hAnsi="Myriad Pro"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7CD4E14"/>
    <w:multiLevelType w:val="hybridMultilevel"/>
    <w:tmpl w:val="9EC6A6DA"/>
    <w:lvl w:ilvl="0" w:tplc="1934373E">
      <w:start w:val="1"/>
      <w:numFmt w:val="bullet"/>
      <w:lvlText w:val="-"/>
      <w:lvlJc w:val="left"/>
      <w:pPr>
        <w:ind w:left="720" w:hanging="360"/>
      </w:pPr>
      <w:rPr>
        <w:rFonts w:ascii="Myriad Pro" w:eastAsiaTheme="minorHAnsi" w:hAnsi="Myriad Pro"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F470AB5"/>
    <w:multiLevelType w:val="hybridMultilevel"/>
    <w:tmpl w:val="A9F8FC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comments" w:enforcement="1"/>
  <w:defaultTabStop w:val="1304"/>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8B"/>
    <w:rsid w:val="00002F36"/>
    <w:rsid w:val="0002462F"/>
    <w:rsid w:val="00033322"/>
    <w:rsid w:val="0004663C"/>
    <w:rsid w:val="000B1C27"/>
    <w:rsid w:val="000F714B"/>
    <w:rsid w:val="0010760F"/>
    <w:rsid w:val="00122F8A"/>
    <w:rsid w:val="001511B4"/>
    <w:rsid w:val="00176CEC"/>
    <w:rsid w:val="00183950"/>
    <w:rsid w:val="001B1452"/>
    <w:rsid w:val="001D1247"/>
    <w:rsid w:val="00203590"/>
    <w:rsid w:val="002913DD"/>
    <w:rsid w:val="002970D2"/>
    <w:rsid w:val="002A382E"/>
    <w:rsid w:val="002D6F41"/>
    <w:rsid w:val="0030738C"/>
    <w:rsid w:val="00314E1F"/>
    <w:rsid w:val="003201BE"/>
    <w:rsid w:val="00322081"/>
    <w:rsid w:val="003555D8"/>
    <w:rsid w:val="003909D2"/>
    <w:rsid w:val="003B1D87"/>
    <w:rsid w:val="003F182C"/>
    <w:rsid w:val="004374CD"/>
    <w:rsid w:val="004531A1"/>
    <w:rsid w:val="00521360"/>
    <w:rsid w:val="00544594"/>
    <w:rsid w:val="00556DB9"/>
    <w:rsid w:val="005660F9"/>
    <w:rsid w:val="005765B8"/>
    <w:rsid w:val="0058545B"/>
    <w:rsid w:val="005B0351"/>
    <w:rsid w:val="005C7886"/>
    <w:rsid w:val="005F1694"/>
    <w:rsid w:val="005F72DA"/>
    <w:rsid w:val="006309A8"/>
    <w:rsid w:val="00640B3C"/>
    <w:rsid w:val="00695DE4"/>
    <w:rsid w:val="006C7C5E"/>
    <w:rsid w:val="006E7CCC"/>
    <w:rsid w:val="006F6F86"/>
    <w:rsid w:val="00713701"/>
    <w:rsid w:val="00737CFD"/>
    <w:rsid w:val="007922B3"/>
    <w:rsid w:val="007A07B7"/>
    <w:rsid w:val="007A1D42"/>
    <w:rsid w:val="007A77BA"/>
    <w:rsid w:val="007D6BCA"/>
    <w:rsid w:val="007E1E07"/>
    <w:rsid w:val="008219E0"/>
    <w:rsid w:val="00824FD1"/>
    <w:rsid w:val="00844E8D"/>
    <w:rsid w:val="008A3D09"/>
    <w:rsid w:val="008B58B1"/>
    <w:rsid w:val="009026BD"/>
    <w:rsid w:val="00912933"/>
    <w:rsid w:val="00937BCB"/>
    <w:rsid w:val="00941570"/>
    <w:rsid w:val="00963BED"/>
    <w:rsid w:val="00972894"/>
    <w:rsid w:val="009749A7"/>
    <w:rsid w:val="009A6C3E"/>
    <w:rsid w:val="009A767E"/>
    <w:rsid w:val="00A03D11"/>
    <w:rsid w:val="00A4485D"/>
    <w:rsid w:val="00A617E6"/>
    <w:rsid w:val="00AC6DA4"/>
    <w:rsid w:val="00AE2575"/>
    <w:rsid w:val="00AF1FB8"/>
    <w:rsid w:val="00B15A1F"/>
    <w:rsid w:val="00B46D56"/>
    <w:rsid w:val="00B539FC"/>
    <w:rsid w:val="00B64488"/>
    <w:rsid w:val="00B82D51"/>
    <w:rsid w:val="00BB226E"/>
    <w:rsid w:val="00BC4710"/>
    <w:rsid w:val="00BC655D"/>
    <w:rsid w:val="00BE15E0"/>
    <w:rsid w:val="00C43B04"/>
    <w:rsid w:val="00C50A20"/>
    <w:rsid w:val="00C539AB"/>
    <w:rsid w:val="00C6593F"/>
    <w:rsid w:val="00C9282A"/>
    <w:rsid w:val="00CA3731"/>
    <w:rsid w:val="00CA7458"/>
    <w:rsid w:val="00CD53A6"/>
    <w:rsid w:val="00D1097F"/>
    <w:rsid w:val="00D116CF"/>
    <w:rsid w:val="00D519B0"/>
    <w:rsid w:val="00D96BEB"/>
    <w:rsid w:val="00DA354B"/>
    <w:rsid w:val="00DB00C1"/>
    <w:rsid w:val="00E27578"/>
    <w:rsid w:val="00E2768B"/>
    <w:rsid w:val="00E36A5A"/>
    <w:rsid w:val="00E7485B"/>
    <w:rsid w:val="00EA5864"/>
    <w:rsid w:val="00EC152E"/>
    <w:rsid w:val="00EF5CFD"/>
    <w:rsid w:val="00EF624F"/>
    <w:rsid w:val="00F11FB5"/>
    <w:rsid w:val="00F35A71"/>
    <w:rsid w:val="00FC3C6E"/>
    <w:rsid w:val="00FF0D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E14C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8D"/>
    <w:pPr>
      <w:spacing w:after="240" w:line="260" w:lineRule="exact"/>
    </w:pPr>
    <w:rPr>
      <w:rFonts w:ascii="Myriad Pro" w:hAnsi="Myriad Pro"/>
      <w:color w:val="5F6269"/>
      <w:sz w:val="22"/>
      <w:lang w:val="sv-SE"/>
    </w:rPr>
  </w:style>
  <w:style w:type="paragraph" w:styleId="Rubrik1">
    <w:name w:val="heading 1"/>
    <w:basedOn w:val="Normal"/>
    <w:next w:val="Normal"/>
    <w:link w:val="Rubrik1Char"/>
    <w:uiPriority w:val="9"/>
    <w:qFormat/>
    <w:rsid w:val="00844E8D"/>
    <w:pPr>
      <w:keepNext/>
      <w:keepLines/>
      <w:outlineLvl w:val="0"/>
    </w:pPr>
    <w:rPr>
      <w:rFonts w:eastAsiaTheme="majorEastAsia" w:cstheme="majorBidi"/>
      <w:b/>
      <w:bCs/>
      <w:szCs w:val="32"/>
    </w:rPr>
  </w:style>
  <w:style w:type="paragraph" w:styleId="Rubrik2">
    <w:name w:val="heading 2"/>
    <w:basedOn w:val="Normal"/>
    <w:next w:val="Normal"/>
    <w:link w:val="Rubrik2Char"/>
    <w:uiPriority w:val="9"/>
    <w:unhideWhenUsed/>
    <w:rsid w:val="000246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qFormat/>
    <w:rsid w:val="003201BE"/>
    <w:pPr>
      <w:tabs>
        <w:tab w:val="center" w:pos="4819"/>
        <w:tab w:val="right" w:pos="9638"/>
      </w:tabs>
      <w:jc w:val="right"/>
    </w:pPr>
    <w:rPr>
      <w:b/>
      <w:sz w:val="18"/>
    </w:rPr>
  </w:style>
  <w:style w:type="character" w:customStyle="1" w:styleId="SidhuvudChar">
    <w:name w:val="Sidhuvud Char"/>
    <w:basedOn w:val="Standardstycketeckensnitt"/>
    <w:link w:val="Sidhuvud"/>
    <w:uiPriority w:val="99"/>
    <w:rsid w:val="003201BE"/>
    <w:rPr>
      <w:rFonts w:ascii="Myriad Pro" w:hAnsi="Myriad Pro"/>
      <w:b/>
      <w:color w:val="5F6269"/>
      <w:sz w:val="18"/>
    </w:rPr>
  </w:style>
  <w:style w:type="paragraph" w:styleId="Sidfot">
    <w:name w:val="footer"/>
    <w:basedOn w:val="Normal"/>
    <w:link w:val="SidfotChar"/>
    <w:uiPriority w:val="99"/>
    <w:unhideWhenUsed/>
    <w:qFormat/>
    <w:rsid w:val="003555D8"/>
    <w:pPr>
      <w:tabs>
        <w:tab w:val="center" w:pos="4819"/>
        <w:tab w:val="right" w:pos="9638"/>
      </w:tabs>
      <w:spacing w:after="0" w:line="240" w:lineRule="exact"/>
    </w:pPr>
    <w:rPr>
      <w:w w:val="120"/>
      <w:sz w:val="18"/>
    </w:rPr>
  </w:style>
  <w:style w:type="character" w:customStyle="1" w:styleId="SidfotChar">
    <w:name w:val="Sidfot Char"/>
    <w:basedOn w:val="Standardstycketeckensnitt"/>
    <w:link w:val="Sidfot"/>
    <w:uiPriority w:val="99"/>
    <w:rsid w:val="003555D8"/>
    <w:rPr>
      <w:rFonts w:ascii="Myriad Pro" w:hAnsi="Myriad Pro"/>
      <w:color w:val="5F6269"/>
      <w:w w:val="120"/>
      <w:sz w:val="18"/>
    </w:rPr>
  </w:style>
  <w:style w:type="character" w:styleId="Sidnummer">
    <w:name w:val="page number"/>
    <w:basedOn w:val="Standardstycketeckensnitt"/>
    <w:uiPriority w:val="99"/>
    <w:semiHidden/>
    <w:unhideWhenUsed/>
    <w:rsid w:val="001511B4"/>
  </w:style>
  <w:style w:type="character" w:customStyle="1" w:styleId="Rubrik1Char">
    <w:name w:val="Rubrik 1 Char"/>
    <w:basedOn w:val="Standardstycketeckensnitt"/>
    <w:link w:val="Rubrik1"/>
    <w:uiPriority w:val="9"/>
    <w:rsid w:val="00844E8D"/>
    <w:rPr>
      <w:rFonts w:ascii="Myriad Pro" w:eastAsiaTheme="majorEastAsia" w:hAnsi="Myriad Pro" w:cstheme="majorBidi"/>
      <w:b/>
      <w:bCs/>
      <w:color w:val="5F6269"/>
      <w:sz w:val="22"/>
      <w:szCs w:val="32"/>
    </w:rPr>
  </w:style>
  <w:style w:type="character" w:customStyle="1" w:styleId="Rubrik2Char">
    <w:name w:val="Rubrik 2 Char"/>
    <w:basedOn w:val="Standardstycketeckensnitt"/>
    <w:link w:val="Rubrik2"/>
    <w:uiPriority w:val="9"/>
    <w:rsid w:val="0002462F"/>
    <w:rPr>
      <w:rFonts w:asciiTheme="majorHAnsi" w:eastAsiaTheme="majorEastAsia" w:hAnsiTheme="majorHAnsi" w:cstheme="majorBidi"/>
      <w:color w:val="2F5496" w:themeColor="accent1" w:themeShade="BF"/>
      <w:sz w:val="26"/>
      <w:szCs w:val="26"/>
    </w:rPr>
  </w:style>
  <w:style w:type="paragraph" w:styleId="Rubrik">
    <w:name w:val="Title"/>
    <w:basedOn w:val="Normal"/>
    <w:next w:val="Normal"/>
    <w:link w:val="RubrikChar"/>
    <w:uiPriority w:val="10"/>
    <w:qFormat/>
    <w:rsid w:val="00176CEC"/>
    <w:pPr>
      <w:contextualSpacing/>
    </w:pPr>
    <w:rPr>
      <w:rFonts w:eastAsiaTheme="majorEastAsia" w:cstheme="majorBidi"/>
      <w:b/>
      <w:bCs/>
      <w:spacing w:val="-10"/>
      <w:w w:val="120"/>
      <w:kern w:val="28"/>
      <w:szCs w:val="56"/>
    </w:rPr>
  </w:style>
  <w:style w:type="character" w:customStyle="1" w:styleId="RubrikChar">
    <w:name w:val="Rubrik Char"/>
    <w:basedOn w:val="Standardstycketeckensnitt"/>
    <w:link w:val="Rubrik"/>
    <w:uiPriority w:val="10"/>
    <w:rsid w:val="00176CEC"/>
    <w:rPr>
      <w:rFonts w:ascii="Myriad Pro" w:eastAsiaTheme="majorEastAsia" w:hAnsi="Myriad Pro" w:cstheme="majorBidi"/>
      <w:b/>
      <w:bCs/>
      <w:color w:val="5F6269"/>
      <w:spacing w:val="-10"/>
      <w:w w:val="120"/>
      <w:kern w:val="28"/>
      <w:sz w:val="22"/>
      <w:szCs w:val="56"/>
    </w:rPr>
  </w:style>
  <w:style w:type="paragraph" w:customStyle="1" w:styleId="Tiedotteentiedot">
    <w:name w:val="Tiedotteen tiedot"/>
    <w:basedOn w:val="Normal"/>
    <w:qFormat/>
    <w:rsid w:val="00EC152E"/>
    <w:rPr>
      <w:sz w:val="18"/>
      <w:lang w:val="fi-FI"/>
    </w:rPr>
  </w:style>
  <w:style w:type="table" w:styleId="Tabellrutnt">
    <w:name w:val="Table Grid"/>
    <w:basedOn w:val="Normaltabell"/>
    <w:uiPriority w:val="59"/>
    <w:rsid w:val="0018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qFormat/>
    <w:rsid w:val="00176CEC"/>
    <w:pPr>
      <w:numPr>
        <w:ilvl w:val="1"/>
      </w:numPr>
      <w:spacing w:after="0"/>
    </w:pPr>
    <w:rPr>
      <w:rFonts w:eastAsiaTheme="minorEastAsia"/>
      <w:b/>
      <w:bCs/>
      <w:w w:val="120"/>
      <w:szCs w:val="22"/>
    </w:rPr>
  </w:style>
  <w:style w:type="character" w:customStyle="1" w:styleId="UnderrubrikChar">
    <w:name w:val="Underrubrik Char"/>
    <w:basedOn w:val="Standardstycketeckensnitt"/>
    <w:link w:val="Underrubrik"/>
    <w:uiPriority w:val="11"/>
    <w:rsid w:val="00176CEC"/>
    <w:rPr>
      <w:rFonts w:ascii="Myriad Pro" w:eastAsiaTheme="minorEastAsia" w:hAnsi="Myriad Pro"/>
      <w:b/>
      <w:bCs/>
      <w:color w:val="5F6269"/>
      <w:w w:val="120"/>
      <w:sz w:val="22"/>
      <w:szCs w:val="22"/>
    </w:rPr>
  </w:style>
  <w:style w:type="paragraph" w:styleId="Liststycke">
    <w:name w:val="List Paragraph"/>
    <w:basedOn w:val="Normal"/>
    <w:uiPriority w:val="34"/>
    <w:qFormat/>
    <w:rsid w:val="006C7C5E"/>
    <w:pPr>
      <w:ind w:left="720"/>
    </w:pPr>
  </w:style>
  <w:style w:type="character" w:styleId="Hyperlnk">
    <w:name w:val="Hyperlink"/>
    <w:basedOn w:val="Standardstycketeckensnitt"/>
    <w:uiPriority w:val="99"/>
    <w:unhideWhenUsed/>
    <w:rsid w:val="00844E8D"/>
    <w:rPr>
      <w:color w:val="0563C1" w:themeColor="hyperlink"/>
      <w:u w:val="single"/>
    </w:rPr>
  </w:style>
  <w:style w:type="character" w:styleId="AnvndHyperlnk">
    <w:name w:val="FollowedHyperlink"/>
    <w:basedOn w:val="Standardstycketeckensnitt"/>
    <w:uiPriority w:val="99"/>
    <w:semiHidden/>
    <w:unhideWhenUsed/>
    <w:rsid w:val="00844E8D"/>
    <w:rPr>
      <w:color w:val="954F72" w:themeColor="followedHyperlink"/>
      <w:u w:val="single"/>
    </w:rPr>
  </w:style>
  <w:style w:type="paragraph" w:customStyle="1" w:styleId="Tiedotteentiedotlihavoitu">
    <w:name w:val="Tiedotteen tiedot lihavoitu"/>
    <w:basedOn w:val="Tiedotteentiedot"/>
    <w:qFormat/>
    <w:rsid w:val="00176CEC"/>
    <w:pPr>
      <w:framePr w:hSpace="141" w:wrap="around" w:vAnchor="page" w:hAnchor="page" w:x="2800" w:y="905"/>
    </w:pPr>
    <w:rPr>
      <w:b/>
      <w:bCs/>
      <w:szCs w:val="18"/>
    </w:rPr>
  </w:style>
  <w:style w:type="paragraph" w:customStyle="1" w:styleId="Tiedotteentiedototsikko">
    <w:name w:val="Tiedotteen tiedot otsikko"/>
    <w:basedOn w:val="Tiedotteentiedot"/>
    <w:qFormat/>
    <w:rsid w:val="00176CEC"/>
    <w:rPr>
      <w:b/>
      <w:w w:val="120"/>
    </w:rPr>
  </w:style>
  <w:style w:type="paragraph" w:customStyle="1" w:styleId="tiedotteentiedotlihavoituoikea">
    <w:name w:val="tiedotteen tiedot lihavoitu oikea"/>
    <w:basedOn w:val="Tiedotteentiedotlihavoitu"/>
    <w:qFormat/>
    <w:rsid w:val="00176CEC"/>
    <w:pPr>
      <w:framePr w:wrap="around"/>
      <w:jc w:val="right"/>
    </w:pPr>
  </w:style>
  <w:style w:type="paragraph" w:customStyle="1" w:styleId="Listietojenantaja">
    <w:name w:val="Lisätietojen antaja"/>
    <w:basedOn w:val="Normal"/>
    <w:qFormat/>
    <w:rsid w:val="006C7C5E"/>
    <w:pPr>
      <w:spacing w:after="0"/>
    </w:pPr>
    <w:rPr>
      <w:lang w:val="fi-FI"/>
    </w:rPr>
  </w:style>
  <w:style w:type="paragraph" w:styleId="Ballongtext">
    <w:name w:val="Balloon Text"/>
    <w:basedOn w:val="Normal"/>
    <w:link w:val="BallongtextChar"/>
    <w:uiPriority w:val="99"/>
    <w:semiHidden/>
    <w:unhideWhenUsed/>
    <w:rsid w:val="003555D8"/>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3555D8"/>
    <w:rPr>
      <w:rFonts w:ascii="Times New Roman" w:hAnsi="Times New Roman" w:cs="Times New Roman"/>
      <w:color w:val="5F6269"/>
      <w:sz w:val="18"/>
      <w:szCs w:val="18"/>
    </w:rPr>
  </w:style>
  <w:style w:type="paragraph" w:customStyle="1" w:styleId="Default">
    <w:name w:val="Default"/>
    <w:rsid w:val="007A77BA"/>
    <w:pPr>
      <w:autoSpaceDE w:val="0"/>
      <w:autoSpaceDN w:val="0"/>
      <w:adjustRightInd w:val="0"/>
    </w:pPr>
    <w:rPr>
      <w:rFonts w:ascii="Times New Roman" w:eastAsia="Times New Roman" w:hAnsi="Times New Roman" w:cs="Times New Roman"/>
      <w:color w:val="00000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71000">
      <w:bodyDiv w:val="1"/>
      <w:marLeft w:val="0"/>
      <w:marRight w:val="0"/>
      <w:marTop w:val="0"/>
      <w:marBottom w:val="0"/>
      <w:divBdr>
        <w:top w:val="none" w:sz="0" w:space="0" w:color="auto"/>
        <w:left w:val="none" w:sz="0" w:space="0" w:color="auto"/>
        <w:bottom w:val="none" w:sz="0" w:space="0" w:color="auto"/>
        <w:right w:val="none" w:sz="0" w:space="0" w:color="auto"/>
      </w:divBdr>
    </w:div>
    <w:div w:id="1477189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TWeb2007.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F57916-7431-46FD-9885-F80F5B63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TWeb2007</Template>
  <TotalTime>2</TotalTime>
  <Pages>3</Pages>
  <Words>902</Words>
  <Characters>4786</Characters>
  <Application>Microsoft Office Word</Application>
  <DocSecurity>12</DocSecurity>
  <Lines>39</Lines>
  <Paragraphs>11</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Jan Mattsson</cp:lastModifiedBy>
  <cp:revision>2</cp:revision>
  <cp:lastPrinted>2018-01-08T07:28:00Z</cp:lastPrinted>
  <dcterms:created xsi:type="dcterms:W3CDTF">2019-01-11T12:57:00Z</dcterms:created>
  <dcterms:modified xsi:type="dcterms:W3CDTF">2019-01-11T12:57:00Z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Key">
    <vt:lpwstr>52227d4aafa3901f376486bb2fcd86#stmpsdok.vnv.fi!/TWeb/toaxfront!8443!-1</vt:lpwstr>
  </property>
  <property fmtid="{D5CDD505-2E9C-101B-9397-08002B2CF9AE}" pid="3" name="tweb_doc_id">
    <vt:lpwstr>1305124</vt:lpwstr>
  </property>
  <property fmtid="{D5CDD505-2E9C-101B-9397-08002B2CF9AE}" pid="4" name="tweb_doc_version">
    <vt:lpwstr>5</vt:lpwstr>
  </property>
  <property fmtid="{D5CDD505-2E9C-101B-9397-08002B2CF9AE}" pid="5" name="tweb_doc_title">
    <vt:lpwstr>Underhållsbidrag och underhållsstöd stiger från och med 1.1.2019</vt:lpwstr>
  </property>
  <property fmtid="{D5CDD505-2E9C-101B-9397-08002B2CF9AE}" pid="6" name="tweb_doc_typecode">
    <vt:lpwstr>9999.522</vt:lpwstr>
  </property>
  <property fmtid="{D5CDD505-2E9C-101B-9397-08002B2CF9AE}" pid="7" name="tweb_doc_typename">
    <vt:lpwstr>Tiedote</vt:lpwstr>
  </property>
  <property fmtid="{D5CDD505-2E9C-101B-9397-08002B2CF9AE}" pid="8" name="tweb_doc_description">
    <vt:lpwstr/>
  </property>
  <property fmtid="{D5CDD505-2E9C-101B-9397-08002B2CF9AE}" pid="9" name="tweb_doc_status">
    <vt:lpwstr>Luonnos</vt:lpwstr>
  </property>
  <property fmtid="{D5CDD505-2E9C-101B-9397-08002B2CF9AE}" pid="10" name="tweb_doc_identifier">
    <vt:lpwstr/>
  </property>
  <property fmtid="{D5CDD505-2E9C-101B-9397-08002B2CF9AE}" pid="11" name="tweb_doc_publicityclass">
    <vt:lpwstr/>
  </property>
  <property fmtid="{D5CDD505-2E9C-101B-9397-08002B2CF9AE}" pid="12" name="tweb_doc_securityclass">
    <vt:lpwstr/>
  </property>
  <property fmtid="{D5CDD505-2E9C-101B-9397-08002B2CF9AE}" pid="13" name="tweb_doc_securityreason">
    <vt:lpwstr/>
  </property>
  <property fmtid="{D5CDD505-2E9C-101B-9397-08002B2CF9AE}" pid="14" name="tweb_doc_securityperiod">
    <vt:lpwstr>0</vt:lpwstr>
  </property>
  <property fmtid="{D5CDD505-2E9C-101B-9397-08002B2CF9AE}" pid="15" name="tweb_doc_securityperiodstart">
    <vt:lpwstr/>
  </property>
  <property fmtid="{D5CDD505-2E9C-101B-9397-08002B2CF9AE}" pid="16" name="tweb_doc_securityperiodend">
    <vt:lpwstr/>
  </property>
  <property fmtid="{D5CDD505-2E9C-101B-9397-08002B2CF9AE}" pid="17" name="tweb_doc_owner">
    <vt:lpwstr>Juurikko Annika STM</vt:lpwstr>
  </property>
  <property fmtid="{D5CDD505-2E9C-101B-9397-08002B2CF9AE}" pid="18" name="tweb_doc_creator">
    <vt:lpwstr>Marjamäki Tarja STM</vt:lpwstr>
  </property>
  <property fmtid="{D5CDD505-2E9C-101B-9397-08002B2CF9AE}" pid="19" name="tweb_doc_publisher">
    <vt:lpwstr>Sosiaali- ja terveysministeriö/SVO/ETU</vt:lpwstr>
  </property>
  <property fmtid="{D5CDD505-2E9C-101B-9397-08002B2CF9AE}" pid="20" name="tweb_doc_contributor">
    <vt:lpwstr/>
  </property>
  <property fmtid="{D5CDD505-2E9C-101B-9397-08002B2CF9AE}" pid="21" name="tweb_doc_fileextension">
    <vt:lpwstr>DOCX</vt:lpwstr>
  </property>
  <property fmtid="{D5CDD505-2E9C-101B-9397-08002B2CF9AE}" pid="22" name="tweb_doc_language">
    <vt:lpwstr>ruotsi</vt:lpwstr>
  </property>
  <property fmtid="{D5CDD505-2E9C-101B-9397-08002B2CF9AE}" pid="23" name="tweb_doc_created">
    <vt:lpwstr>13.12.2018</vt:lpwstr>
  </property>
  <property fmtid="{D5CDD505-2E9C-101B-9397-08002B2CF9AE}" pid="24" name="tweb_doc_modified">
    <vt:lpwstr>14.12.2018</vt:lpwstr>
  </property>
  <property fmtid="{D5CDD505-2E9C-101B-9397-08002B2CF9AE}" pid="25" name="tweb_doc_available">
    <vt:lpwstr/>
  </property>
  <property fmtid="{D5CDD505-2E9C-101B-9397-08002B2CF9AE}" pid="26" name="tweb_doc_acquired">
    <vt:lpwstr/>
  </property>
  <property fmtid="{D5CDD505-2E9C-101B-9397-08002B2CF9AE}" pid="27" name="tweb_doc_issued">
    <vt:lpwstr/>
  </property>
  <property fmtid="{D5CDD505-2E9C-101B-9397-08002B2CF9AE}" pid="28" name="tweb_doc_accepted">
    <vt:lpwstr/>
  </property>
  <property fmtid="{D5CDD505-2E9C-101B-9397-08002B2CF9AE}" pid="29" name="tweb_doc_validfrom">
    <vt:lpwstr/>
  </property>
  <property fmtid="{D5CDD505-2E9C-101B-9397-08002B2CF9AE}" pid="30" name="tweb_doc_validto">
    <vt:lpwstr/>
  </property>
  <property fmtid="{D5CDD505-2E9C-101B-9397-08002B2CF9AE}" pid="31" name="tweb_doc_protectionclass">
    <vt:lpwstr>III suojeluluokka</vt:lpwstr>
  </property>
  <property fmtid="{D5CDD505-2E9C-101B-9397-08002B2CF9AE}" pid="32" name="tweb_doc_retentionperiodstart">
    <vt:lpwstr/>
  </property>
  <property fmtid="{D5CDD505-2E9C-101B-9397-08002B2CF9AE}" pid="33" name="tweb_doc_retentionperiodend">
    <vt:lpwstr/>
  </property>
  <property fmtid="{D5CDD505-2E9C-101B-9397-08002B2CF9AE}" pid="34" name="tweb_doc_storagelocation">
    <vt:lpwstr/>
  </property>
  <property fmtid="{D5CDD505-2E9C-101B-9397-08002B2CF9AE}" pid="35" name="tweb_doc_publicationid">
    <vt:lpwstr/>
  </property>
  <property fmtid="{D5CDD505-2E9C-101B-9397-08002B2CF9AE}" pid="36" name="tweb_doc_copyright">
    <vt:lpwstr/>
  </property>
  <property fmtid="{D5CDD505-2E9C-101B-9397-08002B2CF9AE}" pid="37" name="tweb_doc_decisionnumber">
    <vt:lpwstr/>
  </property>
  <property fmtid="{D5CDD505-2E9C-101B-9397-08002B2CF9AE}" pid="38" name="tweb_doc_decisionyear">
    <vt:lpwstr>0</vt:lpwstr>
  </property>
  <property fmtid="{D5CDD505-2E9C-101B-9397-08002B2CF9AE}" pid="39" name="tweb_doc_xsubjectlist">
    <vt:lpwstr/>
  </property>
  <property fmtid="{D5CDD505-2E9C-101B-9397-08002B2CF9AE}" pid="40" name="tweb_doc_presenter">
    <vt:lpwstr/>
  </property>
  <property fmtid="{D5CDD505-2E9C-101B-9397-08002B2CF9AE}" pid="41" name="tweb_doc_solver">
    <vt:lpwstr/>
  </property>
  <property fmtid="{D5CDD505-2E9C-101B-9397-08002B2CF9AE}" pid="42" name="tweb_doc_otherid">
    <vt:lpwstr/>
  </property>
  <property fmtid="{D5CDD505-2E9C-101B-9397-08002B2CF9AE}" pid="43" name="tweb_doc_deadline">
    <vt:lpwstr/>
  </property>
  <property fmtid="{D5CDD505-2E9C-101B-9397-08002B2CF9AE}" pid="44" name="tweb_doc_mamiversion">
    <vt:lpwstr>0.4</vt:lpwstr>
  </property>
  <property fmtid="{D5CDD505-2E9C-101B-9397-08002B2CF9AE}" pid="45" name="tweb_doc_alternativetitle">
    <vt:lpwstr/>
  </property>
  <property fmtid="{D5CDD505-2E9C-101B-9397-08002B2CF9AE}" pid="46" name="tweb_doc_atts">
    <vt:lpwstr/>
  </property>
  <property fmtid="{D5CDD505-2E9C-101B-9397-08002B2CF9AE}" pid="47" name="tweb_doc_eoperators">
    <vt:lpwstr/>
  </property>
  <property fmtid="{D5CDD505-2E9C-101B-9397-08002B2CF9AE}" pid="48" name="tweb_user_name">
    <vt:lpwstr>Marjamäki Tarja STM</vt:lpwstr>
  </property>
  <property fmtid="{D5CDD505-2E9C-101B-9397-08002B2CF9AE}" pid="49" name="tweb_user_surname">
    <vt:lpwstr>Marjamäki</vt:lpwstr>
  </property>
  <property fmtid="{D5CDD505-2E9C-101B-9397-08002B2CF9AE}" pid="50" name="tweb_user_givenname">
    <vt:lpwstr>Tarja</vt:lpwstr>
  </property>
  <property fmtid="{D5CDD505-2E9C-101B-9397-08002B2CF9AE}" pid="51" name="tweb_user_title">
    <vt:lpwstr>Säädösvalmisteluavustaja</vt:lpwstr>
  </property>
  <property fmtid="{D5CDD505-2E9C-101B-9397-08002B2CF9AE}" pid="52" name="tweb_user_telephonenumber">
    <vt:lpwstr>+358 2951 63197</vt:lpwstr>
  </property>
  <property fmtid="{D5CDD505-2E9C-101B-9397-08002B2CF9AE}" pid="53" name="tweb_user_facsimiletelephonenumber">
    <vt:lpwstr/>
  </property>
  <property fmtid="{D5CDD505-2E9C-101B-9397-08002B2CF9AE}" pid="54" name="tweb_user_rfc822mailbox">
    <vt:lpwstr>tarja.marjamaki@stm.fi</vt:lpwstr>
  </property>
  <property fmtid="{D5CDD505-2E9C-101B-9397-08002B2CF9AE}" pid="55" name="tweb_user_roomnumber">
    <vt:lpwstr>Helsinki, Meritullinkatu 8, Hki-Me5D589</vt:lpwstr>
  </property>
  <property fmtid="{D5CDD505-2E9C-101B-9397-08002B2CF9AE}" pid="56" name="tweb_user_organization">
    <vt:lpwstr>Sosiaali- ja terveysministeriö</vt:lpwstr>
  </property>
  <property fmtid="{D5CDD505-2E9C-101B-9397-08002B2CF9AE}" pid="57" name="tweb_user_department">
    <vt:lpwstr>SVO</vt:lpwstr>
  </property>
  <property fmtid="{D5CDD505-2E9C-101B-9397-08002B2CF9AE}" pid="58" name="tweb_user_group">
    <vt:lpwstr>ETU</vt:lpwstr>
  </property>
  <property fmtid="{D5CDD505-2E9C-101B-9397-08002B2CF9AE}" pid="59" name="tweb_user_postaladdress">
    <vt:lpwstr/>
  </property>
  <property fmtid="{D5CDD505-2E9C-101B-9397-08002B2CF9AE}" pid="60" name="tweb_user_postalcode">
    <vt:lpwstr/>
  </property>
</Properties>
</file>